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3C" w:rsidRPr="00CD345E" w:rsidRDefault="00BF7B20">
      <w:pPr>
        <w:pStyle w:val="Titel1"/>
        <w:rPr>
          <w:lang w:val="en-GB"/>
        </w:rPr>
      </w:pPr>
      <w:r w:rsidRPr="00BF7B20">
        <w:rPr>
          <w:lang w:val="en-GB"/>
        </w:rPr>
        <w:t>Marriage of conve</w:t>
      </w:r>
      <w:r w:rsidRPr="00BF7B20">
        <w:rPr>
          <w:lang w:val="en-GB"/>
        </w:rPr>
        <w:t>n</w:t>
      </w:r>
      <w:r w:rsidRPr="00BF7B20">
        <w:rPr>
          <w:lang w:val="en-GB"/>
        </w:rPr>
        <w:t>ience between farmer organizations and milk industry, for a more resilient local milk value chain in Niamey</w:t>
      </w:r>
    </w:p>
    <w:p w:rsidR="007F423C" w:rsidRPr="00BF3817" w:rsidRDefault="007F423C">
      <w:pPr>
        <w:pStyle w:val="Titel1"/>
        <w:rPr>
          <w:lang w:val="en-GB"/>
        </w:rPr>
      </w:pPr>
    </w:p>
    <w:p w:rsidR="007F423C" w:rsidRPr="00C70907" w:rsidRDefault="00BF7B20">
      <w:pPr>
        <w:pStyle w:val="Authors"/>
        <w:rPr>
          <w:sz w:val="20"/>
          <w:lang w:val="fr-FR"/>
        </w:rPr>
      </w:pPr>
      <w:r>
        <w:rPr>
          <w:sz w:val="20"/>
          <w:lang w:val="fr-FR"/>
        </w:rPr>
        <w:t>O. Renard, G</w:t>
      </w:r>
      <w:r w:rsidR="00C70907" w:rsidRPr="00C70907">
        <w:rPr>
          <w:sz w:val="20"/>
          <w:lang w:val="fr-FR"/>
        </w:rPr>
        <w:t xml:space="preserve">. </w:t>
      </w:r>
      <w:proofErr w:type="spellStart"/>
      <w:r>
        <w:rPr>
          <w:sz w:val="20"/>
          <w:lang w:val="fr-FR"/>
        </w:rPr>
        <w:t>Ouseini</w:t>
      </w:r>
      <w:proofErr w:type="spellEnd"/>
      <w:r w:rsidR="00B12A3D">
        <w:rPr>
          <w:rStyle w:val="Appelnotedebasdep"/>
          <w:sz w:val="20"/>
          <w:lang w:val="fr-FR"/>
        </w:rPr>
        <w:footnoteReference w:id="1"/>
      </w:r>
    </w:p>
    <w:p w:rsidR="007F423C" w:rsidRPr="00C70907" w:rsidRDefault="007F423C">
      <w:pPr>
        <w:pStyle w:val="Authors"/>
        <w:jc w:val="left"/>
        <w:rPr>
          <w:lang w:val="fr-FR"/>
        </w:rPr>
      </w:pPr>
    </w:p>
    <w:p w:rsidR="00853128" w:rsidRPr="00663BBB" w:rsidRDefault="007F423C">
      <w:pPr>
        <w:pStyle w:val="abstract"/>
        <w:rPr>
          <w:lang w:val="fr-FR"/>
        </w:rPr>
      </w:pPr>
      <w:r w:rsidRPr="00663BBB">
        <w:rPr>
          <w:i/>
          <w:iCs/>
          <w:lang w:val="fr-FR"/>
        </w:rPr>
        <w:t xml:space="preserve">Abstract </w:t>
      </w:r>
    </w:p>
    <w:p w:rsidR="00D83CD9" w:rsidRDefault="00BF7B20" w:rsidP="00D83CD9">
      <w:pPr>
        <w:pStyle w:val="abstract"/>
      </w:pPr>
      <w:r>
        <w:t xml:space="preserve">Between 90 and 95% of milk consumption in Niamey is produced with imported powder milk. </w:t>
      </w:r>
      <w:r w:rsidR="00D83CD9">
        <w:t>It allow</w:t>
      </w:r>
      <w:r w:rsidR="00CD3CBE">
        <w:t xml:space="preserve">s urban population to access </w:t>
      </w:r>
      <w:r w:rsidR="00D83CD9">
        <w:t>cheap and safe milk pro</w:t>
      </w:r>
      <w:r w:rsidR="00D83CD9">
        <w:t>d</w:t>
      </w:r>
      <w:r w:rsidR="00D83CD9">
        <w:t>ucts, but local milk is preferred by most of the popul</w:t>
      </w:r>
      <w:r w:rsidR="00D83CD9">
        <w:t>a</w:t>
      </w:r>
      <w:r w:rsidR="00CD3CBE">
        <w:t>tion</w:t>
      </w:r>
      <w:r w:rsidR="00D83CD9">
        <w:t>.</w:t>
      </w:r>
      <w:r w:rsidR="00CD3CBE">
        <w:t xml:space="preserve"> T</w:t>
      </w:r>
      <w:r w:rsidR="00D83CD9">
        <w:t>he development of local milk value chain is hindered by high production costs and scattered pr</w:t>
      </w:r>
      <w:r w:rsidR="00D83CD9">
        <w:t>o</w:t>
      </w:r>
      <w:r w:rsidR="00D83CD9">
        <w:t xml:space="preserve">duction. Competing with cheap powder imports is also more difficult with UEMOA Common External Tariff on milk at 5% only, to favour </w:t>
      </w:r>
      <w:r w:rsidR="004D55CD">
        <w:t xml:space="preserve">poor </w:t>
      </w:r>
      <w:r w:rsidR="00D83CD9">
        <w:t>urban consumers.</w:t>
      </w:r>
      <w:r w:rsidR="00286332">
        <w:t xml:space="preserve"> A project developed in partnership with IRAM and n</w:t>
      </w:r>
      <w:r w:rsidR="00286332">
        <w:t>a</w:t>
      </w:r>
      <w:r w:rsidR="00286332">
        <w:t xml:space="preserve">tional and regional organisations, Nariindu Project, is considering that trying to develop mini dairies to promote local milk, as it is the case in many West African countries, </w:t>
      </w:r>
      <w:proofErr w:type="gramStart"/>
      <w:r w:rsidR="00286332">
        <w:t>is</w:t>
      </w:r>
      <w:proofErr w:type="gramEnd"/>
      <w:r w:rsidR="00286332">
        <w:t xml:space="preserve"> not financially viable. </w:t>
      </w:r>
      <w:r w:rsidR="004D55CD">
        <w:t>It is pr</w:t>
      </w:r>
      <w:r w:rsidR="004D55CD">
        <w:t>o</w:t>
      </w:r>
      <w:r w:rsidR="004D55CD">
        <w:t xml:space="preserve">posed alternatively to facilitate linkages between farmers and </w:t>
      </w:r>
      <w:r w:rsidR="00286332">
        <w:t xml:space="preserve">milk industries interested in developing local milk products. To do so, a minimum of 3000 </w:t>
      </w:r>
      <w:r w:rsidR="008704E9">
        <w:t>litres</w:t>
      </w:r>
      <w:r w:rsidR="00286332">
        <w:t>/day have to be collected</w:t>
      </w:r>
      <w:r w:rsidR="008704E9">
        <w:t>,</w:t>
      </w:r>
      <w:r w:rsidR="004D55CD">
        <w:t xml:space="preserve"> which is a challenge but also</w:t>
      </w:r>
      <w:r w:rsidR="008704E9">
        <w:t xml:space="preserve"> a strong impetus for local value chain, offe</w:t>
      </w:r>
      <w:r w:rsidR="008704E9">
        <w:t>r</w:t>
      </w:r>
      <w:r w:rsidR="008704E9">
        <w:t>ing regular incomes for farmers. To reach this obje</w:t>
      </w:r>
      <w:r w:rsidR="008704E9">
        <w:t>c</w:t>
      </w:r>
      <w:r w:rsidR="008704E9">
        <w:t>tive, collecting platforms are not only collecting milk, but also providing advices and inputs to farm</w:t>
      </w:r>
      <w:r w:rsidR="00CD3CBE">
        <w:t xml:space="preserve">ers, animal </w:t>
      </w:r>
      <w:r w:rsidR="008704E9">
        <w:t>feed being a strategic one.</w:t>
      </w:r>
      <w:r w:rsidR="00D83CD9">
        <w:t xml:space="preserve"> </w:t>
      </w:r>
      <w:r w:rsidR="008704E9">
        <w:t>Collecting pla</w:t>
      </w:r>
      <w:r w:rsidR="008704E9">
        <w:t>t</w:t>
      </w:r>
      <w:r w:rsidR="008704E9">
        <w:t>forms are also key institutional</w:t>
      </w:r>
      <w:r w:rsidR="00D83CD9">
        <w:t xml:space="preserve"> </w:t>
      </w:r>
      <w:r w:rsidR="008704E9">
        <w:t>tools: owned by farmer organisations, they are linking farmers, milk collectors, industry and local authorities, for soun</w:t>
      </w:r>
      <w:r w:rsidR="004D1DF9">
        <w:t>d value chain a</w:t>
      </w:r>
      <w:r w:rsidR="008704E9">
        <w:t>nd territorial development</w:t>
      </w:r>
      <w:r w:rsidR="004D1DF9">
        <w:t>.</w:t>
      </w:r>
    </w:p>
    <w:p w:rsidR="007F423C" w:rsidRPr="00AB65F9" w:rsidRDefault="008B0641" w:rsidP="00D83CD9">
      <w:pPr>
        <w:pStyle w:val="abstract"/>
        <w:rPr>
          <w:b w:val="0"/>
        </w:rPr>
      </w:pPr>
      <w:r w:rsidRPr="00F7029F">
        <w:rPr>
          <w:i/>
          <w:iCs/>
        </w:rPr>
        <w:t>Keywords</w:t>
      </w:r>
      <w:r w:rsidR="00F7029F" w:rsidRPr="00F7029F">
        <w:rPr>
          <w:i/>
          <w:iCs/>
        </w:rPr>
        <w:t xml:space="preserve"> </w:t>
      </w:r>
      <w:r w:rsidR="00F7029F">
        <w:rPr>
          <w:i/>
          <w:iCs/>
        </w:rPr>
        <w:t>–</w:t>
      </w:r>
      <w:r w:rsidRPr="00AB65F9">
        <w:t xml:space="preserve"> </w:t>
      </w:r>
      <w:r w:rsidR="00BF7B20">
        <w:rPr>
          <w:b w:val="0"/>
        </w:rPr>
        <w:t xml:space="preserve">Local milk value chain, </w:t>
      </w:r>
      <w:r w:rsidR="004D55CD">
        <w:rPr>
          <w:b w:val="0"/>
        </w:rPr>
        <w:t xml:space="preserve">milk </w:t>
      </w:r>
      <w:r w:rsidR="00BF7B20">
        <w:rPr>
          <w:b w:val="0"/>
        </w:rPr>
        <w:t>industry, Niger, collecting platforms, farmer services</w:t>
      </w:r>
    </w:p>
    <w:p w:rsidR="007F423C" w:rsidRPr="00BF3817" w:rsidRDefault="007F423C">
      <w:pPr>
        <w:pStyle w:val="berschrift11"/>
      </w:pPr>
      <w:r w:rsidRPr="00BF3817">
        <w:t>Introduction</w:t>
      </w:r>
      <w:r w:rsidR="00D7446A" w:rsidRPr="00BF3817">
        <w:t xml:space="preserve"> </w:t>
      </w:r>
    </w:p>
    <w:p w:rsidR="00CD3CBE" w:rsidRDefault="00CD3CBE">
      <w:pPr>
        <w:pStyle w:val="Normaltext"/>
      </w:pPr>
      <w:r>
        <w:t>The impact of recently signed trade agreements between West Africa and the European Union is considered by experts as potentially dangerous for local productions (</w:t>
      </w:r>
      <w:r w:rsidR="00CF508E">
        <w:t>CONCORD policy paper, 2013)</w:t>
      </w:r>
      <w:r>
        <w:t xml:space="preserve">. It has been asked without success by civil society to protect </w:t>
      </w:r>
      <w:r w:rsidR="00CF508E">
        <w:t>local production, and particularly milk value chains, but the external tariff for this production has been fixed at 5% only, compared to 30% asked by African milk producers. If such low rate</w:t>
      </w:r>
      <w:r>
        <w:t xml:space="preserve"> </w:t>
      </w:r>
      <w:r w:rsidR="00CF508E">
        <w:t>is insuring urban consumers</w:t>
      </w:r>
      <w:r w:rsidR="00B57D4C">
        <w:t>’</w:t>
      </w:r>
      <w:r w:rsidR="00CF508E">
        <w:t xml:space="preserve"> access to cheap imported milk powder, it is also seriously endangering local milk </w:t>
      </w:r>
      <w:r w:rsidR="00CF508E">
        <w:lastRenderedPageBreak/>
        <w:t xml:space="preserve">value chains, sources of income for hundreds of thousands of families, mostly nomad or semi-nomad. Literature on local milk value chains in West Africa </w:t>
      </w:r>
      <w:r w:rsidR="004D55CD">
        <w:t>(</w:t>
      </w:r>
      <w:proofErr w:type="spellStart"/>
      <w:r w:rsidR="004D55CD">
        <w:t>Corniaux</w:t>
      </w:r>
      <w:proofErr w:type="spellEnd"/>
      <w:r w:rsidR="004D55CD">
        <w:t xml:space="preserve">, C., 2014) </w:t>
      </w:r>
      <w:r w:rsidR="00CF508E">
        <w:t xml:space="preserve">is focusing mainly on the development of mini dairies, and how to maximise added value for producers. But successful and </w:t>
      </w:r>
      <w:r w:rsidR="004D55CD">
        <w:t>signi</w:t>
      </w:r>
      <w:r w:rsidR="004D55CD">
        <w:t>f</w:t>
      </w:r>
      <w:r w:rsidR="004D55CD">
        <w:t>icant</w:t>
      </w:r>
      <w:r w:rsidR="00CF508E">
        <w:t xml:space="preserve"> examples are very rare, most of mini-dairies processing very small quantities of milk, for a limited number of farmers. </w:t>
      </w:r>
      <w:r w:rsidR="006E0984">
        <w:t>Other mini-</w:t>
      </w:r>
      <w:r w:rsidR="00CF508E">
        <w:t xml:space="preserve">dairies are forced to use powder milk to be </w:t>
      </w:r>
      <w:r w:rsidR="006E0984">
        <w:t xml:space="preserve">financially viable, even if they were initially created to collect and sale local milk (and often financially supported by </w:t>
      </w:r>
      <w:r w:rsidR="00663BBB">
        <w:t>international</w:t>
      </w:r>
      <w:r w:rsidR="004D55CD">
        <w:t xml:space="preserve"> donors</w:t>
      </w:r>
      <w:r w:rsidR="006E0984">
        <w:t>). Their business model</w:t>
      </w:r>
      <w:r w:rsidR="004D55CD">
        <w:t xml:space="preserve"> is thus</w:t>
      </w:r>
      <w:r w:rsidR="006E0984">
        <w:t xml:space="preserve"> similar to milk industries, </w:t>
      </w:r>
      <w:r w:rsidR="004D55CD">
        <w:t xml:space="preserve">the latter </w:t>
      </w:r>
      <w:r w:rsidR="006E0984">
        <w:t>working mostly with milk po</w:t>
      </w:r>
      <w:r w:rsidR="006E0984">
        <w:t>w</w:t>
      </w:r>
      <w:r w:rsidR="006E0984">
        <w:t>der, but incorporating also local milk to improve quality (fat content).</w:t>
      </w:r>
    </w:p>
    <w:p w:rsidR="006E0984" w:rsidRDefault="006E0984">
      <w:pPr>
        <w:pStyle w:val="Normaltext"/>
      </w:pPr>
      <w:r>
        <w:t xml:space="preserve">The aim </w:t>
      </w:r>
      <w:r w:rsidR="00663BBB">
        <w:t xml:space="preserve">of the project </w:t>
      </w:r>
      <w:r>
        <w:t xml:space="preserve">is to propose new </w:t>
      </w:r>
      <w:r w:rsidR="00663BBB">
        <w:t xml:space="preserve">efficient </w:t>
      </w:r>
      <w:r>
        <w:t>mechanisms allowing smallholder farmers to be</w:t>
      </w:r>
      <w:r w:rsidR="004D55CD">
        <w:t xml:space="preserve"> sustainably connected to milk industry, for stable, negotiated and regular incomes from local milk</w:t>
      </w:r>
      <w:r>
        <w:t xml:space="preserve">. </w:t>
      </w:r>
    </w:p>
    <w:p w:rsidR="00AF24EB" w:rsidRDefault="00AF24EB" w:rsidP="00AF24EB">
      <w:pPr>
        <w:pStyle w:val="Normaltext"/>
      </w:pPr>
      <w:r>
        <w:t>The hypothesis of the project is that, working direc</w:t>
      </w:r>
      <w:r>
        <w:t>t</w:t>
      </w:r>
      <w:r>
        <w:t>ly in close collaboration with milk industry to sale local milk is more efficient in terms of impact on value chain development and income generation than developing alternative, nascent and fragile value chains, targeting niche markets. Another h</w:t>
      </w:r>
      <w:r>
        <w:t>y</w:t>
      </w:r>
      <w:r>
        <w:t xml:space="preserve">pothesis is that local industry in West Africa can develop innovative partnerships </w:t>
      </w:r>
      <w:r w:rsidR="004D55CD">
        <w:t>with farmer organ</w:t>
      </w:r>
      <w:r w:rsidR="004D55CD">
        <w:t>i</w:t>
      </w:r>
      <w:r w:rsidR="004D55CD">
        <w:t xml:space="preserve">sations, </w:t>
      </w:r>
      <w:r>
        <w:t xml:space="preserve">not only to collect local milk, but also to </w:t>
      </w:r>
      <w:r w:rsidR="00B9580A">
        <w:t>offer local products to urban consumers</w:t>
      </w:r>
      <w:r>
        <w:t>.</w:t>
      </w:r>
    </w:p>
    <w:p w:rsidR="007F423C" w:rsidRPr="00BF3817" w:rsidRDefault="007F423C">
      <w:pPr>
        <w:pStyle w:val="Normaltext"/>
        <w:tabs>
          <w:tab w:val="left" w:pos="240"/>
        </w:tabs>
      </w:pPr>
    </w:p>
    <w:p w:rsidR="001F70E5" w:rsidRPr="00BF3817" w:rsidRDefault="00CD3CBE" w:rsidP="001F70E5">
      <w:pPr>
        <w:pStyle w:val="berschrift11"/>
      </w:pPr>
      <w:r>
        <w:t>M</w:t>
      </w:r>
      <w:r w:rsidR="00602825">
        <w:t>ethod</w:t>
      </w:r>
    </w:p>
    <w:p w:rsidR="00AF24EB" w:rsidRDefault="00AF24EB" w:rsidP="001F70E5">
      <w:pPr>
        <w:pStyle w:val="Normaltext"/>
        <w:tabs>
          <w:tab w:val="left" w:pos="240"/>
        </w:tabs>
      </w:pPr>
      <w:r>
        <w:t>To reach this aim, the Nariindu project has suppor</w:t>
      </w:r>
      <w:r>
        <w:t>t</w:t>
      </w:r>
      <w:r>
        <w:t>ed the development of two local milk collecting pla</w:t>
      </w:r>
      <w:r>
        <w:t>t</w:t>
      </w:r>
      <w:r>
        <w:t>forms (on 2 sites, distant of 50 kilometres from Niamey (</w:t>
      </w:r>
      <w:proofErr w:type="spellStart"/>
      <w:r>
        <w:t>Kollo</w:t>
      </w:r>
      <w:proofErr w:type="spellEnd"/>
      <w:r>
        <w:t xml:space="preserve"> and </w:t>
      </w:r>
      <w:proofErr w:type="spellStart"/>
      <w:r>
        <w:t>Hamdallaye</w:t>
      </w:r>
      <w:proofErr w:type="spellEnd"/>
      <w:r>
        <w:t xml:space="preserve"> localities)). Nariindu project is </w:t>
      </w:r>
      <w:r w:rsidR="00B051BA">
        <w:t>managed during 3 years (2012 to 2015)</w:t>
      </w:r>
      <w:r>
        <w:t xml:space="preserve"> by IRAM Development NGO, in partnership with VSF-</w:t>
      </w:r>
      <w:proofErr w:type="spellStart"/>
      <w:r>
        <w:t>Belgique</w:t>
      </w:r>
      <w:proofErr w:type="spellEnd"/>
      <w:r>
        <w:t xml:space="preserve">, </w:t>
      </w:r>
      <w:proofErr w:type="spellStart"/>
      <w:r>
        <w:t>Karkara</w:t>
      </w:r>
      <w:proofErr w:type="spellEnd"/>
      <w:r>
        <w:t xml:space="preserve"> local NGO, and two farmer assoc</w:t>
      </w:r>
      <w:r>
        <w:t>i</w:t>
      </w:r>
      <w:r>
        <w:t>ations (AREN, in Niger, and RBM, in West Africa).</w:t>
      </w:r>
      <w:r w:rsidR="00B051BA">
        <w:t xml:space="preserve"> </w:t>
      </w:r>
    </w:p>
    <w:p w:rsidR="00B051BA" w:rsidRDefault="00AF24EB" w:rsidP="001F70E5">
      <w:pPr>
        <w:pStyle w:val="Normaltext"/>
        <w:tabs>
          <w:tab w:val="left" w:pos="240"/>
        </w:tabs>
      </w:pPr>
      <w:r>
        <w:t>To show the economic and social viability of such innovation, the project has monitored both quantit</w:t>
      </w:r>
      <w:r>
        <w:t>a</w:t>
      </w:r>
      <w:r>
        <w:t xml:space="preserve">tive data on platforms’ turn over and impact at farmers’ level, and qualitative information on various indicators, to assess the social acceptability of </w:t>
      </w:r>
      <w:r w:rsidR="00B051BA">
        <w:t>pla</w:t>
      </w:r>
      <w:r w:rsidR="00B051BA">
        <w:t>t</w:t>
      </w:r>
      <w:r w:rsidR="00B051BA">
        <w:t>forms and their services</w:t>
      </w:r>
      <w:r>
        <w:t>.</w:t>
      </w:r>
    </w:p>
    <w:p w:rsidR="00B051BA" w:rsidRDefault="00B051BA" w:rsidP="001F70E5">
      <w:pPr>
        <w:pStyle w:val="Normaltext"/>
        <w:tabs>
          <w:tab w:val="left" w:pos="240"/>
        </w:tabs>
      </w:pPr>
      <w:r>
        <w:t xml:space="preserve">The quantity of milk collected has been regularly measured by both platforms and the milk </w:t>
      </w:r>
      <w:r w:rsidR="00B9580A">
        <w:t>company</w:t>
      </w:r>
      <w:r>
        <w:t>, on a daily basis. Financial monitoring has been co</w:t>
      </w:r>
      <w:r>
        <w:t>n</w:t>
      </w:r>
      <w:r>
        <w:t xml:space="preserve">ducted by the project on </w:t>
      </w:r>
      <w:r w:rsidR="00B9580A">
        <w:t>bi-annual</w:t>
      </w:r>
      <w:r>
        <w:t xml:space="preserve"> basis, to measure progress and make recommendations. </w:t>
      </w:r>
    </w:p>
    <w:p w:rsidR="00AF24EB" w:rsidRDefault="00B051BA" w:rsidP="001F70E5">
      <w:pPr>
        <w:pStyle w:val="Normaltext"/>
        <w:tabs>
          <w:tab w:val="left" w:pos="240"/>
        </w:tabs>
      </w:pPr>
      <w:r>
        <w:t>The project monitoring and evaluation plan has measured some key indicators: daily incomes and expenses at farmers’ level, qualitative information on changes in practices, gender issues, animal health status, and level of satisfaction regarding the services of the platforms. A baseline survey has been conducted in 2013, an end line survey in 2015. This survey was primarily designed to ensure sati</w:t>
      </w:r>
      <w:r>
        <w:t>s</w:t>
      </w:r>
      <w:r>
        <w:t xml:space="preserve">factory project implementation and monitor few key indicators, not for research purpose. </w:t>
      </w:r>
      <w:r w:rsidR="000766A8">
        <w:t xml:space="preserve">Data collected and information </w:t>
      </w:r>
      <w:r>
        <w:t xml:space="preserve">should therefore be considered as </w:t>
      </w:r>
      <w:r>
        <w:lastRenderedPageBreak/>
        <w:t>indicative</w:t>
      </w:r>
      <w:r w:rsidR="000766A8">
        <w:t xml:space="preserve">. More in-depth research is necessary to draw more precise and robust lessons.  </w:t>
      </w:r>
      <w:r>
        <w:t xml:space="preserve"> </w:t>
      </w:r>
    </w:p>
    <w:p w:rsidR="007F423C" w:rsidRPr="00BF3817" w:rsidRDefault="007F423C">
      <w:pPr>
        <w:pStyle w:val="Normaltext"/>
        <w:tabs>
          <w:tab w:val="left" w:pos="240"/>
        </w:tabs>
      </w:pPr>
    </w:p>
    <w:p w:rsidR="007F423C" w:rsidRPr="00BF3817" w:rsidRDefault="00CD3CBE">
      <w:pPr>
        <w:pStyle w:val="berschrift11"/>
      </w:pPr>
      <w:r>
        <w:t>Results</w:t>
      </w:r>
    </w:p>
    <w:p w:rsidR="00663BBB" w:rsidRDefault="00663BBB">
      <w:pPr>
        <w:pStyle w:val="Normaltext"/>
        <w:tabs>
          <w:tab w:val="left" w:pos="240"/>
        </w:tabs>
      </w:pPr>
      <w:r>
        <w:t>Results can be described around 3 dimensions: ec</w:t>
      </w:r>
      <w:r>
        <w:t>o</w:t>
      </w:r>
      <w:r>
        <w:t xml:space="preserve">nomic, social and institutional. </w:t>
      </w:r>
      <w:r w:rsidRPr="00653EC1">
        <w:rPr>
          <w:b/>
        </w:rPr>
        <w:t>Economic results</w:t>
      </w:r>
      <w:r>
        <w:t xml:space="preserve"> are described briefly </w:t>
      </w:r>
      <w:r w:rsidR="000E13AB">
        <w:t>on figure 1</w:t>
      </w:r>
      <w:r w:rsidR="00262C32">
        <w:t>: daily milk collection can reach approximately 600 litres per day in pic season in 2014, approximately 1000 litres in 2015, thanks to better functioning of the two cent</w:t>
      </w:r>
      <w:r w:rsidR="00B9580A">
        <w:t>res</w:t>
      </w:r>
      <w:r w:rsidR="00262C32">
        <w:t>. This covers two thirds of the supply in</w:t>
      </w:r>
      <w:r w:rsidR="00B9580A">
        <w:t xml:space="preserve"> fresh milk for the partnering milk company</w:t>
      </w:r>
      <w:r w:rsidR="00262C32">
        <w:t>. The main remaining pro</w:t>
      </w:r>
      <w:r w:rsidR="00262C32">
        <w:t>b</w:t>
      </w:r>
      <w:r w:rsidR="00262C32">
        <w:t>lem is the strong decrease in milk collecting before rainy season, period of high milk consumption, but also a period during which cow herd</w:t>
      </w:r>
      <w:r w:rsidR="00B9580A">
        <w:t>s are</w:t>
      </w:r>
      <w:r w:rsidR="00262C32">
        <w:t xml:space="preserve"> moving south to access grassland. </w:t>
      </w:r>
    </w:p>
    <w:p w:rsidR="00686F86" w:rsidRDefault="00686F86">
      <w:pPr>
        <w:pStyle w:val="Normaltext"/>
        <w:tabs>
          <w:tab w:val="left" w:pos="240"/>
        </w:tabs>
      </w:pPr>
      <w:r>
        <w:rPr>
          <w:noProof/>
          <w:lang w:val="fr-FR" w:eastAsia="fr-FR"/>
        </w:rPr>
        <w:drawing>
          <wp:inline distT="0" distB="0" distL="0" distR="0" wp14:anchorId="15E90003" wp14:editId="26B238DA">
            <wp:extent cx="2283748" cy="1440293"/>
            <wp:effectExtent l="0" t="0" r="254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3703" cy="1446571"/>
                    </a:xfrm>
                    <a:prstGeom prst="rect">
                      <a:avLst/>
                    </a:prstGeom>
                    <a:noFill/>
                  </pic:spPr>
                </pic:pic>
              </a:graphicData>
            </a:graphic>
          </wp:inline>
        </w:drawing>
      </w:r>
    </w:p>
    <w:p w:rsidR="00663BBB" w:rsidRPr="008C5141" w:rsidRDefault="00663BBB" w:rsidP="00663BBB">
      <w:pPr>
        <w:pStyle w:val="Normaltext"/>
        <w:tabs>
          <w:tab w:val="left" w:pos="240"/>
        </w:tabs>
        <w:rPr>
          <w:i/>
          <w:iCs/>
          <w:sz w:val="14"/>
          <w:szCs w:val="14"/>
        </w:rPr>
      </w:pPr>
      <w:r w:rsidRPr="008C5141">
        <w:rPr>
          <w:i/>
          <w:iCs/>
          <w:sz w:val="14"/>
          <w:szCs w:val="14"/>
        </w:rPr>
        <w:t xml:space="preserve">Figure </w:t>
      </w:r>
      <w:r w:rsidR="000E13AB" w:rsidRPr="008C5141">
        <w:rPr>
          <w:i/>
          <w:iCs/>
          <w:sz w:val="14"/>
          <w:szCs w:val="14"/>
        </w:rPr>
        <w:t>1</w:t>
      </w:r>
      <w:r w:rsidRPr="008C5141">
        <w:rPr>
          <w:i/>
          <w:iCs/>
          <w:sz w:val="14"/>
          <w:szCs w:val="14"/>
        </w:rPr>
        <w:t xml:space="preserve">: </w:t>
      </w:r>
      <w:r w:rsidR="00262C32" w:rsidRPr="008C5141">
        <w:rPr>
          <w:i/>
          <w:iCs/>
          <w:sz w:val="14"/>
          <w:szCs w:val="14"/>
        </w:rPr>
        <w:t>seasonality of milk collection</w:t>
      </w:r>
      <w:r w:rsidRPr="008C5141">
        <w:rPr>
          <w:i/>
          <w:iCs/>
          <w:sz w:val="14"/>
          <w:szCs w:val="14"/>
        </w:rPr>
        <w:t xml:space="preserve"> (</w:t>
      </w:r>
      <w:r w:rsidR="00262C32" w:rsidRPr="008C5141">
        <w:rPr>
          <w:i/>
          <w:iCs/>
          <w:sz w:val="14"/>
          <w:szCs w:val="14"/>
        </w:rPr>
        <w:t>2014</w:t>
      </w:r>
      <w:r w:rsidRPr="008C5141">
        <w:rPr>
          <w:i/>
          <w:iCs/>
          <w:sz w:val="14"/>
          <w:szCs w:val="14"/>
        </w:rPr>
        <w:t>)</w:t>
      </w:r>
    </w:p>
    <w:p w:rsidR="00B9580A" w:rsidRDefault="00262C32">
      <w:pPr>
        <w:pStyle w:val="Normaltext"/>
        <w:tabs>
          <w:tab w:val="left" w:pos="240"/>
        </w:tabs>
      </w:pPr>
      <w:r>
        <w:t xml:space="preserve">Approximately 1000 families are </w:t>
      </w:r>
      <w:r w:rsidR="00B9580A">
        <w:t>supplying milk</w:t>
      </w:r>
      <w:r>
        <w:t>, mostly poor families</w:t>
      </w:r>
      <w:r w:rsidR="000E13AB">
        <w:t xml:space="preserve">, </w:t>
      </w:r>
      <w:r w:rsidR="00832B84">
        <w:t>and richest</w:t>
      </w:r>
      <w:r w:rsidR="000E13AB">
        <w:t xml:space="preserve"> owners being</w:t>
      </w:r>
      <w:r>
        <w:t xml:space="preserve"> </w:t>
      </w:r>
      <w:r w:rsidR="000E13AB">
        <w:t>trad</w:t>
      </w:r>
      <w:r w:rsidR="000E13AB">
        <w:t>i</w:t>
      </w:r>
      <w:r w:rsidR="000E13AB">
        <w:t>tio</w:t>
      </w:r>
      <w:r w:rsidR="000E13AB">
        <w:t>n</w:t>
      </w:r>
      <w:r w:rsidR="000E13AB">
        <w:t>ally</w:t>
      </w:r>
      <w:r>
        <w:t xml:space="preserve"> not s</w:t>
      </w:r>
      <w:r w:rsidR="000E13AB">
        <w:t>el</w:t>
      </w:r>
      <w:r>
        <w:t>l</w:t>
      </w:r>
      <w:r w:rsidR="000E13AB">
        <w:t xml:space="preserve">ing </w:t>
      </w:r>
      <w:r>
        <w:t>milk</w:t>
      </w:r>
      <w:r w:rsidR="000E13AB">
        <w:t xml:space="preserve">, offering it to shepherds. </w:t>
      </w:r>
      <w:r w:rsidR="00B9580A">
        <w:t xml:space="preserve">One cow is producing 2 to 4 litres per day, one to two litres per family per day being sold. </w:t>
      </w:r>
      <w:r w:rsidR="000E13AB" w:rsidRPr="000E13AB">
        <w:t xml:space="preserve">Data </w:t>
      </w:r>
      <w:r w:rsidR="00B9580A">
        <w:t xml:space="preserve">is showing </w:t>
      </w:r>
      <w:r w:rsidR="000E13AB" w:rsidRPr="000E13AB">
        <w:t>(Figure 2) that the centres</w:t>
      </w:r>
      <w:r w:rsidR="00F000E6">
        <w:t xml:space="preserve"> </w:t>
      </w:r>
      <w:r w:rsidR="000E13AB" w:rsidRPr="000E13AB">
        <w:t xml:space="preserve">have been </w:t>
      </w:r>
      <w:r w:rsidR="00B9580A">
        <w:t>ch</w:t>
      </w:r>
      <w:r w:rsidR="00B9580A">
        <w:t>o</w:t>
      </w:r>
      <w:r w:rsidR="00B9580A">
        <w:t xml:space="preserve">sen by most </w:t>
      </w:r>
      <w:r w:rsidR="000E13AB" w:rsidRPr="000E13AB">
        <w:t>producers</w:t>
      </w:r>
      <w:r w:rsidR="00B9580A" w:rsidRPr="00B9580A">
        <w:t xml:space="preserve"> </w:t>
      </w:r>
      <w:r w:rsidR="00B9580A">
        <w:t xml:space="preserve">to sale milk </w:t>
      </w:r>
      <w:r w:rsidR="00B9580A" w:rsidRPr="000E13AB">
        <w:t>after two years</w:t>
      </w:r>
      <w:r w:rsidR="000E13AB" w:rsidRPr="000E13AB">
        <w:t>.</w:t>
      </w:r>
      <w:r w:rsidR="000E13AB">
        <w:t xml:space="preserve"> This is due firstly to the service provided to farmers: daily milk collection and access to animal feed at negot</w:t>
      </w:r>
      <w:r w:rsidR="000E13AB">
        <w:t>i</w:t>
      </w:r>
      <w:r w:rsidR="000E13AB">
        <w:t>ated price.</w:t>
      </w:r>
    </w:p>
    <w:p w:rsidR="00B9580A" w:rsidRDefault="00B9580A">
      <w:pPr>
        <w:pStyle w:val="Normaltext"/>
        <w:tabs>
          <w:tab w:val="left" w:pos="240"/>
        </w:tabs>
      </w:pPr>
    </w:p>
    <w:p w:rsidR="00B9580A" w:rsidRPr="008C5141" w:rsidRDefault="000E13AB" w:rsidP="00B9580A">
      <w:pPr>
        <w:rPr>
          <w:rFonts w:ascii="Verdana" w:hAnsi="Verdana"/>
          <w:i/>
          <w:sz w:val="14"/>
          <w:szCs w:val="14"/>
        </w:rPr>
      </w:pPr>
      <w:r w:rsidRPr="000E13AB">
        <w:t xml:space="preserve"> </w:t>
      </w:r>
      <w:r w:rsidR="00B9580A">
        <w:rPr>
          <w:noProof/>
          <w:lang w:val="fr-FR" w:eastAsia="fr-FR"/>
        </w:rPr>
        <w:drawing>
          <wp:inline distT="0" distB="0" distL="0" distR="0" wp14:anchorId="47E46910" wp14:editId="209F59DD">
            <wp:extent cx="2544873" cy="1171153"/>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7657" cy="1177036"/>
                    </a:xfrm>
                    <a:prstGeom prst="rect">
                      <a:avLst/>
                    </a:prstGeom>
                    <a:noFill/>
                  </pic:spPr>
                </pic:pic>
              </a:graphicData>
            </a:graphic>
          </wp:inline>
        </w:drawing>
      </w:r>
      <w:r w:rsidR="00B9580A" w:rsidRPr="00B9580A">
        <w:rPr>
          <w:rFonts w:ascii="Verdana" w:hAnsi="Verdana"/>
          <w:i/>
          <w:sz w:val="14"/>
          <w:szCs w:val="14"/>
        </w:rPr>
        <w:t xml:space="preserve"> </w:t>
      </w:r>
      <w:r w:rsidR="00B9580A" w:rsidRPr="008C5141">
        <w:rPr>
          <w:rFonts w:ascii="Verdana" w:hAnsi="Verdana"/>
          <w:i/>
          <w:sz w:val="14"/>
          <w:szCs w:val="14"/>
        </w:rPr>
        <w:t>Figure 2: percentage of milk going to collecting platforms in selected villages (2013 and 2015)</w:t>
      </w:r>
    </w:p>
    <w:p w:rsidR="00F000E6" w:rsidRDefault="000E13AB">
      <w:pPr>
        <w:pStyle w:val="Normaltext"/>
        <w:tabs>
          <w:tab w:val="left" w:pos="240"/>
        </w:tabs>
      </w:pPr>
      <w:r>
        <w:t xml:space="preserve">Price </w:t>
      </w:r>
      <w:r w:rsidR="00686F86">
        <w:t>negotiation</w:t>
      </w:r>
      <w:r>
        <w:t xml:space="preserve"> is al</w:t>
      </w:r>
      <w:r w:rsidR="00F000E6">
        <w:t>s</w:t>
      </w:r>
      <w:r>
        <w:t>o one factor</w:t>
      </w:r>
      <w:r w:rsidR="00614FCC">
        <w:t xml:space="preserve"> explaining the </w:t>
      </w:r>
      <w:r>
        <w:t>success of the platforms: the price increased from 300 litres to 400 litres at platforms’ gate.</w:t>
      </w:r>
      <w:r w:rsidR="00F000E6">
        <w:t xml:space="preserve"> Lastly, the project end line study has shown that the animal health status significantly improved during the pr</w:t>
      </w:r>
      <w:r w:rsidR="00F000E6">
        <w:t>o</w:t>
      </w:r>
      <w:r w:rsidR="00F000E6">
        <w:t>ject, not only due to veterinary medicine,</w:t>
      </w:r>
      <w:r w:rsidR="00602825">
        <w:t xml:space="preserve"> but al</w:t>
      </w:r>
      <w:r w:rsidR="00F000E6">
        <w:t>s</w:t>
      </w:r>
      <w:r w:rsidR="00602825">
        <w:t>o</w:t>
      </w:r>
      <w:r w:rsidR="00F000E6">
        <w:t xml:space="preserve"> to access to animal feed at critical periods. </w:t>
      </w:r>
      <w:r w:rsidR="00602825">
        <w:t>For the milk company, having access to milk in quantity and quality has allowed it to launch a new product (su</w:t>
      </w:r>
      <w:r w:rsidR="00602825">
        <w:t>c</w:t>
      </w:r>
      <w:r w:rsidR="00602825">
        <w:t>cessful yoghourt with guaranteed 100% local milk), the added value being shared upstream with far</w:t>
      </w:r>
      <w:r w:rsidR="00602825">
        <w:t>m</w:t>
      </w:r>
      <w:r w:rsidR="00602825">
        <w:t xml:space="preserve">ers. </w:t>
      </w:r>
    </w:p>
    <w:p w:rsidR="00F000E6" w:rsidRDefault="00F000E6">
      <w:pPr>
        <w:pStyle w:val="Normaltext"/>
        <w:tabs>
          <w:tab w:val="left" w:pos="240"/>
        </w:tabs>
      </w:pPr>
    </w:p>
    <w:p w:rsidR="00F000E6" w:rsidRDefault="00F000E6">
      <w:pPr>
        <w:pStyle w:val="Normaltext"/>
        <w:tabs>
          <w:tab w:val="left" w:pos="240"/>
        </w:tabs>
      </w:pPr>
    </w:p>
    <w:p w:rsidR="00B57D4C" w:rsidRDefault="00F000E6" w:rsidP="00602825">
      <w:pPr>
        <w:pStyle w:val="Normaltext"/>
        <w:tabs>
          <w:tab w:val="left" w:pos="240"/>
        </w:tabs>
        <w:rPr>
          <w:b/>
          <w:i/>
          <w:sz w:val="18"/>
          <w:szCs w:val="20"/>
          <w:u w:val="single"/>
        </w:rPr>
      </w:pPr>
      <w:r w:rsidRPr="00653EC1">
        <w:rPr>
          <w:b/>
        </w:rPr>
        <w:lastRenderedPageBreak/>
        <w:t>Social impact</w:t>
      </w:r>
      <w:r w:rsidRPr="00F000E6">
        <w:t xml:space="preserve"> at farmers’ level is important. T</w:t>
      </w:r>
      <w:r>
        <w:t xml:space="preserve">he </w:t>
      </w:r>
      <w:r w:rsidRPr="00F000E6">
        <w:t xml:space="preserve">impact on women has been particularly monitored, and figure 3 is showing </w:t>
      </w:r>
      <w:r>
        <w:t xml:space="preserve">that </w:t>
      </w:r>
      <w:r w:rsidR="00602825">
        <w:t>the status of women has changed positively with the change in milk pra</w:t>
      </w:r>
      <w:r w:rsidR="00602825">
        <w:t>c</w:t>
      </w:r>
      <w:r w:rsidR="00602825">
        <w:t>tices. S</w:t>
      </w:r>
      <w:r>
        <w:t>elling on daily basis milk directly to milk colle</w:t>
      </w:r>
      <w:r w:rsidR="00B9580A">
        <w:t>ctors instead of having to go to</w:t>
      </w:r>
      <w:r>
        <w:t xml:space="preserve"> local market two times per week is saving a lot of time for other a</w:t>
      </w:r>
      <w:r>
        <w:t>c</w:t>
      </w:r>
      <w:r>
        <w:t>tivities. Besides, families are continuing to produce and sale traditional cheese for local consumption and occasional sales</w:t>
      </w:r>
      <w:r w:rsidR="00602825">
        <w:t>, at village level</w:t>
      </w:r>
      <w:r>
        <w:t xml:space="preserve">. </w:t>
      </w:r>
    </w:p>
    <w:p w:rsidR="00B57D4C" w:rsidRDefault="00602825" w:rsidP="00B57D4C">
      <w:pPr>
        <w:rPr>
          <w:b/>
          <w:i/>
          <w:sz w:val="20"/>
          <w:szCs w:val="22"/>
        </w:rPr>
      </w:pPr>
      <w:bookmarkStart w:id="0" w:name="_GoBack"/>
      <w:r>
        <w:rPr>
          <w:i/>
          <w:iCs/>
          <w:noProof/>
          <w:lang w:val="fr-FR" w:eastAsia="fr-FR"/>
        </w:rPr>
        <w:drawing>
          <wp:inline distT="0" distB="0" distL="0" distR="0" wp14:anchorId="0008B5E9" wp14:editId="6937681C">
            <wp:extent cx="1979472" cy="1189171"/>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5331" cy="1192691"/>
                    </a:xfrm>
                    <a:prstGeom prst="rect">
                      <a:avLst/>
                    </a:prstGeom>
                    <a:noFill/>
                  </pic:spPr>
                </pic:pic>
              </a:graphicData>
            </a:graphic>
          </wp:inline>
        </w:drawing>
      </w:r>
      <w:bookmarkEnd w:id="0"/>
    </w:p>
    <w:p w:rsidR="00F000E6" w:rsidRPr="008C5141" w:rsidRDefault="00F000E6" w:rsidP="00F000E6">
      <w:pPr>
        <w:rPr>
          <w:rFonts w:ascii="Verdana" w:hAnsi="Verdana"/>
          <w:i/>
          <w:sz w:val="14"/>
          <w:szCs w:val="14"/>
        </w:rPr>
      </w:pPr>
      <w:r w:rsidRPr="008C5141">
        <w:rPr>
          <w:rFonts w:ascii="Verdana" w:hAnsi="Verdana"/>
          <w:i/>
          <w:sz w:val="14"/>
          <w:szCs w:val="14"/>
        </w:rPr>
        <w:t xml:space="preserve">Figure 3: positive perception on status of women, </w:t>
      </w:r>
      <w:r w:rsidR="00602825" w:rsidRPr="008C5141">
        <w:rPr>
          <w:rFonts w:ascii="Verdana" w:hAnsi="Verdana"/>
          <w:i/>
          <w:sz w:val="14"/>
          <w:szCs w:val="14"/>
        </w:rPr>
        <w:t>by</w:t>
      </w:r>
      <w:r w:rsidRPr="008C5141">
        <w:rPr>
          <w:rFonts w:ascii="Verdana" w:hAnsi="Verdana"/>
          <w:i/>
          <w:sz w:val="14"/>
          <w:szCs w:val="14"/>
        </w:rPr>
        <w:t xml:space="preserve"> women and men (2015)</w:t>
      </w:r>
    </w:p>
    <w:p w:rsidR="00602825" w:rsidRDefault="00602825" w:rsidP="00602825">
      <w:pPr>
        <w:pStyle w:val="Normaltext"/>
        <w:tabs>
          <w:tab w:val="left" w:pos="240"/>
        </w:tabs>
        <w:rPr>
          <w:b/>
          <w:i/>
          <w:sz w:val="18"/>
          <w:szCs w:val="20"/>
          <w:u w:val="single"/>
        </w:rPr>
      </w:pPr>
      <w:r w:rsidRPr="00653EC1">
        <w:rPr>
          <w:b/>
        </w:rPr>
        <w:t>Institutional innovations</w:t>
      </w:r>
      <w:r>
        <w:t xml:space="preserve"> are major ones, in terms of sustainability of the local value chain: the milk collecting platforms are insuring quality control, supply of animal feed and other inputs; but the fact that it is managed by farmer organisations instead of privately owned is </w:t>
      </w:r>
      <w:r w:rsidR="00B9580A">
        <w:t>facilitating</w:t>
      </w:r>
      <w:r>
        <w:t xml:space="preserve"> dialog between farmers, organised collectors and the milk company.</w:t>
      </w:r>
      <w:r w:rsidR="00B9580A">
        <w:t xml:space="preserve"> </w:t>
      </w:r>
      <w:r>
        <w:t>The farmer organisations are also legitimate to di</w:t>
      </w:r>
      <w:r>
        <w:t>a</w:t>
      </w:r>
      <w:r>
        <w:t>log with local authorities regarding legal enforc</w:t>
      </w:r>
      <w:r>
        <w:t>e</w:t>
      </w:r>
      <w:r>
        <w:t>ment of key state services: vaccination campaigns, access to animal feed with more transparent mech</w:t>
      </w:r>
      <w:r>
        <w:t>a</w:t>
      </w:r>
      <w:r>
        <w:t xml:space="preserve">nisms, ensuring more enabling environment for all value chain actors. </w:t>
      </w:r>
    </w:p>
    <w:p w:rsidR="00602825" w:rsidRDefault="009F19D6" w:rsidP="00F445EB">
      <w:pPr>
        <w:pStyle w:val="Normaltext"/>
        <w:tabs>
          <w:tab w:val="left" w:pos="240"/>
        </w:tabs>
      </w:pPr>
      <w:r>
        <w:t xml:space="preserve">One </w:t>
      </w:r>
      <w:r w:rsidR="008C5141">
        <w:t>weakness of th</w:t>
      </w:r>
      <w:r w:rsidR="00DB35D2">
        <w:t>is</w:t>
      </w:r>
      <w:r w:rsidR="008C5141">
        <w:t xml:space="preserve"> innovation is the</w:t>
      </w:r>
      <w:r w:rsidR="00DB35D2">
        <w:t xml:space="preserve"> limited</w:t>
      </w:r>
      <w:r w:rsidR="008C5141">
        <w:t xml:space="preserve"> ma</w:t>
      </w:r>
      <w:r w:rsidR="008C5141">
        <w:t>n</w:t>
      </w:r>
      <w:r w:rsidR="008C5141">
        <w:t>agement capacity of the farmer organ</w:t>
      </w:r>
      <w:r w:rsidR="008C5141">
        <w:t>i</w:t>
      </w:r>
      <w:r w:rsidR="008C5141">
        <w:t xml:space="preserve">sations: </w:t>
      </w:r>
      <w:r>
        <w:t>they need</w:t>
      </w:r>
      <w:r w:rsidR="00DB35D2">
        <w:t xml:space="preserve"> </w:t>
      </w:r>
      <w:r w:rsidR="00614FCC">
        <w:t xml:space="preserve">significant </w:t>
      </w:r>
      <w:r>
        <w:t>initial</w:t>
      </w:r>
      <w:r w:rsidR="00DB35D2">
        <w:t xml:space="preserve"> support by projects, and </w:t>
      </w:r>
      <w:r>
        <w:t>have to be frequently monitored</w:t>
      </w:r>
      <w:r w:rsidR="00832B84">
        <w:t>. Regarding consumer d</w:t>
      </w:r>
      <w:r w:rsidR="00832B84">
        <w:t>e</w:t>
      </w:r>
      <w:r w:rsidR="00832B84">
        <w:t>mand for milk, a survey has shown that local milk is preferred to po</w:t>
      </w:r>
      <w:r w:rsidR="00832B84">
        <w:t>w</w:t>
      </w:r>
      <w:r w:rsidR="00832B84">
        <w:t xml:space="preserve">der milk, but safety is also a concern limiting confidence in local products. </w:t>
      </w:r>
      <w:r>
        <w:t>More</w:t>
      </w:r>
      <w:r>
        <w:t>o</w:t>
      </w:r>
      <w:r>
        <w:t xml:space="preserve">ver, </w:t>
      </w:r>
      <w:r w:rsidR="00832B84">
        <w:t>labelling and communication on products’ co</w:t>
      </w:r>
      <w:r w:rsidR="00832B84">
        <w:t>n</w:t>
      </w:r>
      <w:r w:rsidR="00832B84">
        <w:t>tent</w:t>
      </w:r>
      <w:r>
        <w:t xml:space="preserve"> and origin</w:t>
      </w:r>
      <w:r w:rsidR="00832B84">
        <w:t xml:space="preserve"> is not yet enough reliable to promote </w:t>
      </w:r>
      <w:r>
        <w:t>safe local milk</w:t>
      </w:r>
      <w:r w:rsidR="00832B84">
        <w:t xml:space="preserve">. </w:t>
      </w:r>
      <w:r>
        <w:t>The legal framework and enforc</w:t>
      </w:r>
      <w:r>
        <w:t>e</w:t>
      </w:r>
      <w:r>
        <w:t>ment has its role to play to promote safe local milk consum</w:t>
      </w:r>
      <w:r>
        <w:t>p</w:t>
      </w:r>
      <w:r>
        <w:t>tion.</w:t>
      </w:r>
    </w:p>
    <w:p w:rsidR="007F423C" w:rsidRPr="00BF3817" w:rsidRDefault="007F423C" w:rsidP="00285D11">
      <w:pPr>
        <w:pStyle w:val="berschrift11"/>
        <w:tabs>
          <w:tab w:val="left" w:pos="240"/>
        </w:tabs>
      </w:pPr>
      <w:r w:rsidRPr="00BF3817">
        <w:t>Acknowledgement</w:t>
      </w:r>
    </w:p>
    <w:p w:rsidR="007F423C" w:rsidRPr="00BF3817" w:rsidRDefault="00614FCC">
      <w:pPr>
        <w:pStyle w:val="Normaltext"/>
      </w:pPr>
      <w:r>
        <w:t>IRAM</w:t>
      </w:r>
      <w:r w:rsidR="00B9276C" w:rsidRPr="00BF3817">
        <w:t xml:space="preserve"> would like to thank the </w:t>
      </w:r>
      <w:proofErr w:type="spellStart"/>
      <w:r w:rsidR="00B12A3D">
        <w:t>Nariindu</w:t>
      </w:r>
      <w:proofErr w:type="spellEnd"/>
      <w:r w:rsidR="00B12A3D">
        <w:t xml:space="preserve"> project</w:t>
      </w:r>
      <w:r w:rsidR="00653EC1">
        <w:t>’s</w:t>
      </w:r>
      <w:r w:rsidR="00B12A3D">
        <w:t xml:space="preserve"> par</w:t>
      </w:r>
      <w:r w:rsidR="00B12A3D">
        <w:t>t</w:t>
      </w:r>
      <w:r w:rsidR="00B12A3D">
        <w:t xml:space="preserve">ners: </w:t>
      </w:r>
      <w:proofErr w:type="spellStart"/>
      <w:r w:rsidR="00B12A3D">
        <w:t>Karkara</w:t>
      </w:r>
      <w:proofErr w:type="spellEnd"/>
      <w:r w:rsidR="00B12A3D">
        <w:t>, VSF-</w:t>
      </w:r>
      <w:proofErr w:type="spellStart"/>
      <w:r w:rsidR="00B12A3D">
        <w:t>Belgique</w:t>
      </w:r>
      <w:proofErr w:type="spellEnd"/>
      <w:r w:rsidR="00B12A3D">
        <w:t xml:space="preserve">, AREN, </w:t>
      </w:r>
      <w:proofErr w:type="gramStart"/>
      <w:r w:rsidR="00B12A3D">
        <w:t>RBM</w:t>
      </w:r>
      <w:proofErr w:type="gramEnd"/>
      <w:r w:rsidR="00B12A3D">
        <w:t xml:space="preserve"> for their fruitful collaboration, </w:t>
      </w:r>
      <w:proofErr w:type="spellStart"/>
      <w:r w:rsidR="00B12A3D">
        <w:t>Afd</w:t>
      </w:r>
      <w:proofErr w:type="spellEnd"/>
      <w:r w:rsidR="00B12A3D">
        <w:t xml:space="preserve"> and CFSI for their financial and technical support</w:t>
      </w:r>
      <w:r w:rsidR="007F423C" w:rsidRPr="00BF3817">
        <w:rPr>
          <w:rFonts w:ascii="Tahoma" w:hAnsi="Tahoma" w:cs="Tahoma"/>
          <w:szCs w:val="16"/>
        </w:rPr>
        <w:t>.</w:t>
      </w:r>
    </w:p>
    <w:p w:rsidR="007F423C" w:rsidRPr="00653EC1" w:rsidRDefault="007F423C">
      <w:pPr>
        <w:pStyle w:val="berschrift11"/>
        <w:rPr>
          <w:lang w:val="fr-FR"/>
        </w:rPr>
      </w:pPr>
      <w:proofErr w:type="spellStart"/>
      <w:r w:rsidRPr="00653EC1">
        <w:rPr>
          <w:lang w:val="fr-FR"/>
        </w:rPr>
        <w:t>References</w:t>
      </w:r>
      <w:proofErr w:type="spellEnd"/>
    </w:p>
    <w:p w:rsidR="00B12A3D" w:rsidRDefault="00653EC1" w:rsidP="00D23870">
      <w:pPr>
        <w:pStyle w:val="Normaltext"/>
        <w:spacing w:before="80"/>
        <w:rPr>
          <w:lang w:val="fr-FR"/>
        </w:rPr>
      </w:pPr>
      <w:proofErr w:type="spellStart"/>
      <w:r>
        <w:rPr>
          <w:lang w:val="fr-FR"/>
        </w:rPr>
        <w:t>Mamane</w:t>
      </w:r>
      <w:proofErr w:type="spellEnd"/>
      <w:r>
        <w:rPr>
          <w:lang w:val="fr-FR"/>
        </w:rPr>
        <w:t>, O.</w:t>
      </w:r>
      <w:r w:rsidR="00B12A3D">
        <w:rPr>
          <w:lang w:val="fr-FR"/>
        </w:rPr>
        <w:t>B</w:t>
      </w:r>
      <w:r>
        <w:rPr>
          <w:lang w:val="fr-FR"/>
        </w:rPr>
        <w:t>.</w:t>
      </w:r>
      <w:r w:rsidR="00B12A3D">
        <w:rPr>
          <w:lang w:val="fr-FR"/>
        </w:rPr>
        <w:t xml:space="preserve">, </w:t>
      </w:r>
      <w:proofErr w:type="spellStart"/>
      <w:r w:rsidR="00B12A3D">
        <w:rPr>
          <w:lang w:val="fr-FR"/>
        </w:rPr>
        <w:t>Ouseini</w:t>
      </w:r>
      <w:proofErr w:type="spellEnd"/>
      <w:r w:rsidR="00B12A3D">
        <w:rPr>
          <w:lang w:val="fr-FR"/>
        </w:rPr>
        <w:t>, G</w:t>
      </w:r>
      <w:r>
        <w:rPr>
          <w:lang w:val="fr-FR"/>
        </w:rPr>
        <w:t>.</w:t>
      </w:r>
      <w:r w:rsidR="00B12A3D">
        <w:rPr>
          <w:lang w:val="fr-FR"/>
        </w:rPr>
        <w:t xml:space="preserve"> (2015), Rapport situation fin de projet </w:t>
      </w:r>
      <w:proofErr w:type="spellStart"/>
      <w:r w:rsidR="00B12A3D">
        <w:rPr>
          <w:lang w:val="fr-FR"/>
        </w:rPr>
        <w:t>Nariindu</w:t>
      </w:r>
      <w:proofErr w:type="spellEnd"/>
      <w:r w:rsidR="00B12A3D">
        <w:rPr>
          <w:lang w:val="fr-FR"/>
        </w:rPr>
        <w:t xml:space="preserve">, IRAM - </w:t>
      </w:r>
      <w:proofErr w:type="spellStart"/>
      <w:r w:rsidR="00B12A3D">
        <w:rPr>
          <w:lang w:val="fr-FR"/>
        </w:rPr>
        <w:t>Karkara</w:t>
      </w:r>
      <w:proofErr w:type="spellEnd"/>
    </w:p>
    <w:p w:rsidR="00B12A3D" w:rsidRPr="00B12A3D" w:rsidRDefault="00B12A3D" w:rsidP="00D23870">
      <w:pPr>
        <w:pStyle w:val="Normaltext"/>
        <w:spacing w:before="80"/>
        <w:rPr>
          <w:lang w:val="fr-FR"/>
        </w:rPr>
      </w:pPr>
      <w:r w:rsidRPr="00B12A3D">
        <w:rPr>
          <w:lang w:val="fr-FR"/>
        </w:rPr>
        <w:t xml:space="preserve">Rigourd, C., </w:t>
      </w:r>
      <w:proofErr w:type="spellStart"/>
      <w:r w:rsidRPr="00B12A3D">
        <w:rPr>
          <w:lang w:val="fr-FR"/>
        </w:rPr>
        <w:t>Ouseini</w:t>
      </w:r>
      <w:proofErr w:type="spellEnd"/>
      <w:r w:rsidRPr="00B12A3D">
        <w:rPr>
          <w:lang w:val="fr-FR"/>
        </w:rPr>
        <w:t xml:space="preserve">, G. (2015), Mission d’appui au projet </w:t>
      </w:r>
      <w:proofErr w:type="spellStart"/>
      <w:r w:rsidRPr="00B12A3D">
        <w:rPr>
          <w:lang w:val="fr-FR"/>
        </w:rPr>
        <w:t>Nariindu</w:t>
      </w:r>
      <w:proofErr w:type="spellEnd"/>
      <w:r>
        <w:rPr>
          <w:lang w:val="fr-FR"/>
        </w:rPr>
        <w:t xml:space="preserve"> -</w:t>
      </w:r>
      <w:r w:rsidRPr="00B12A3D">
        <w:rPr>
          <w:lang w:val="fr-FR"/>
        </w:rPr>
        <w:t xml:space="preserve"> Bilan de l’année 2014 des deux centres de collecte et perspectives de viabilité</w:t>
      </w:r>
      <w:r>
        <w:rPr>
          <w:lang w:val="fr-FR"/>
        </w:rPr>
        <w:t>, IRAM</w:t>
      </w:r>
    </w:p>
    <w:p w:rsidR="00B12A3D" w:rsidRPr="00B12A3D" w:rsidRDefault="00B12A3D" w:rsidP="00D23870">
      <w:pPr>
        <w:pStyle w:val="Normaltext"/>
        <w:spacing w:before="80"/>
        <w:rPr>
          <w:lang w:val="fr-FR"/>
        </w:rPr>
      </w:pPr>
      <w:proofErr w:type="spellStart"/>
      <w:r w:rsidRPr="00B12A3D">
        <w:rPr>
          <w:lang w:val="fr-FR"/>
        </w:rPr>
        <w:t>Corniaux</w:t>
      </w:r>
      <w:proofErr w:type="spellEnd"/>
      <w:r w:rsidRPr="00B12A3D">
        <w:rPr>
          <w:lang w:val="fr-FR"/>
        </w:rPr>
        <w:t xml:space="preserve">, C., </w:t>
      </w:r>
      <w:proofErr w:type="spellStart"/>
      <w:r>
        <w:rPr>
          <w:lang w:val="fr-FR"/>
        </w:rPr>
        <w:t>Duteurtre</w:t>
      </w:r>
      <w:proofErr w:type="spellEnd"/>
      <w:r>
        <w:rPr>
          <w:lang w:val="fr-FR"/>
        </w:rPr>
        <w:t xml:space="preserve">, G., </w:t>
      </w:r>
      <w:proofErr w:type="spellStart"/>
      <w:r>
        <w:rPr>
          <w:lang w:val="fr-FR"/>
        </w:rPr>
        <w:t>Broutin</w:t>
      </w:r>
      <w:proofErr w:type="spellEnd"/>
      <w:r>
        <w:rPr>
          <w:lang w:val="fr-FR"/>
        </w:rPr>
        <w:t xml:space="preserve">, C. (2014). </w:t>
      </w:r>
      <w:r w:rsidRPr="00B12A3D">
        <w:rPr>
          <w:lang w:val="fr-FR"/>
        </w:rPr>
        <w:t xml:space="preserve">Filières laitières et </w:t>
      </w:r>
      <w:r w:rsidR="00653EC1" w:rsidRPr="00B12A3D">
        <w:rPr>
          <w:lang w:val="fr-FR"/>
        </w:rPr>
        <w:t>développement</w:t>
      </w:r>
      <w:r w:rsidRPr="00B12A3D">
        <w:rPr>
          <w:lang w:val="fr-FR"/>
        </w:rPr>
        <w:t xml:space="preserve"> de l</w:t>
      </w:r>
      <w:r>
        <w:rPr>
          <w:lang w:val="fr-FR"/>
        </w:rPr>
        <w:t>’</w:t>
      </w:r>
      <w:r w:rsidRPr="00B12A3D">
        <w:rPr>
          <w:lang w:val="fr-FR"/>
        </w:rPr>
        <w:t xml:space="preserve">élevage en Afrique de l’ouest, </w:t>
      </w:r>
      <w:proofErr w:type="spellStart"/>
      <w:r w:rsidRPr="00B12A3D">
        <w:rPr>
          <w:lang w:val="fr-FR"/>
        </w:rPr>
        <w:t>ed</w:t>
      </w:r>
      <w:proofErr w:type="spellEnd"/>
      <w:r w:rsidRPr="00B12A3D">
        <w:rPr>
          <w:lang w:val="fr-FR"/>
        </w:rPr>
        <w:t>. Karthala.</w:t>
      </w:r>
    </w:p>
    <w:p w:rsidR="007F423C" w:rsidRPr="00B12A3D" w:rsidRDefault="007F423C" w:rsidP="00D23870">
      <w:pPr>
        <w:pStyle w:val="Normaltext"/>
        <w:spacing w:before="80"/>
        <w:rPr>
          <w:lang w:val="fr-FR"/>
        </w:rPr>
      </w:pPr>
    </w:p>
    <w:sectPr w:rsidR="007F423C" w:rsidRPr="00B12A3D" w:rsidSect="000D6B6F">
      <w:headerReference w:type="default" r:id="rId12"/>
      <w:footerReference w:type="even" r:id="rId13"/>
      <w:footerReference w:type="default" r:id="rId14"/>
      <w:type w:val="continuous"/>
      <w:pgSz w:w="11907" w:h="16840" w:code="9"/>
      <w:pgMar w:top="1251" w:right="1134" w:bottom="1134" w:left="1474" w:header="142" w:footer="709" w:gutter="0"/>
      <w:cols w:num="2" w:space="720" w:equalWidth="0">
        <w:col w:w="4295" w:space="708"/>
        <w:col w:w="4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3E" w:rsidRDefault="001B0B3E">
      <w:r>
        <w:separator/>
      </w:r>
    </w:p>
  </w:endnote>
  <w:endnote w:type="continuationSeparator" w:id="0">
    <w:p w:rsidR="001B0B3E" w:rsidRDefault="001B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22" w:rsidRDefault="007655D7" w:rsidP="00BD295C">
    <w:pPr>
      <w:pStyle w:val="Pieddepage"/>
      <w:framePr w:wrap="around" w:vAnchor="text" w:hAnchor="margin" w:xAlign="right" w:y="1"/>
      <w:rPr>
        <w:rStyle w:val="Numrodepage"/>
      </w:rPr>
    </w:pPr>
    <w:r>
      <w:rPr>
        <w:rStyle w:val="Numrodepage"/>
      </w:rPr>
      <w:fldChar w:fldCharType="begin"/>
    </w:r>
    <w:r w:rsidR="00420522">
      <w:rPr>
        <w:rStyle w:val="Numrodepage"/>
      </w:rPr>
      <w:instrText xml:space="preserve">PAGE  </w:instrText>
    </w:r>
    <w:r>
      <w:rPr>
        <w:rStyle w:val="Numrodepage"/>
      </w:rPr>
      <w:fldChar w:fldCharType="end"/>
    </w:r>
  </w:p>
  <w:p w:rsidR="00420522" w:rsidRDefault="00420522" w:rsidP="00CD5A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22" w:rsidRPr="00405D42" w:rsidRDefault="00420522" w:rsidP="00CD5A2F">
    <w:pPr>
      <w:pStyle w:val="Pieddepage"/>
      <w:ind w:right="360"/>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3E" w:rsidRDefault="001B0B3E">
      <w:r>
        <w:separator/>
      </w:r>
    </w:p>
  </w:footnote>
  <w:footnote w:type="continuationSeparator" w:id="0">
    <w:p w:rsidR="001B0B3E" w:rsidRDefault="001B0B3E">
      <w:r>
        <w:continuationSeparator/>
      </w:r>
    </w:p>
  </w:footnote>
  <w:footnote w:id="1">
    <w:p w:rsidR="00B12A3D" w:rsidRPr="00BF3817" w:rsidRDefault="00B12A3D" w:rsidP="00B12A3D">
      <w:pPr>
        <w:pStyle w:val="Footnote"/>
        <w:rPr>
          <w:lang w:val="en-GB"/>
        </w:rPr>
      </w:pPr>
      <w:r>
        <w:rPr>
          <w:rStyle w:val="Appelnotedebasdep"/>
        </w:rPr>
        <w:footnoteRef/>
      </w:r>
      <w:r>
        <w:t xml:space="preserve"> </w:t>
      </w:r>
      <w:r w:rsidR="0055340F">
        <w:t>Renard 0</w:t>
      </w:r>
      <w:r w:rsidRPr="00BF3817">
        <w:rPr>
          <w:lang w:val="en-GB"/>
        </w:rPr>
        <w:t xml:space="preserve">. </w:t>
      </w:r>
      <w:proofErr w:type="gramStart"/>
      <w:r w:rsidRPr="00BF3817">
        <w:rPr>
          <w:lang w:val="en-GB"/>
        </w:rPr>
        <w:t>is</w:t>
      </w:r>
      <w:proofErr w:type="gramEnd"/>
      <w:r w:rsidRPr="00BF3817">
        <w:rPr>
          <w:lang w:val="en-GB"/>
        </w:rPr>
        <w:t xml:space="preserve"> from</w:t>
      </w:r>
      <w:r w:rsidR="0055340F">
        <w:rPr>
          <w:lang w:val="en-GB"/>
        </w:rPr>
        <w:t xml:space="preserve"> IRAM Development NGO, Paris, France</w:t>
      </w:r>
      <w:r>
        <w:rPr>
          <w:lang w:val="en-GB"/>
        </w:rPr>
        <w:t xml:space="preserve"> (</w:t>
      </w:r>
      <w:r w:rsidR="0055340F">
        <w:rPr>
          <w:lang w:val="en-GB"/>
        </w:rPr>
        <w:t>o.renard@iram-fr.org</w:t>
      </w:r>
      <w:r w:rsidRPr="00BF3817">
        <w:rPr>
          <w:lang w:val="en-GB"/>
        </w:rPr>
        <w:t>).</w:t>
      </w:r>
    </w:p>
    <w:p w:rsidR="00B12A3D" w:rsidRPr="00B12A3D" w:rsidRDefault="0055340F" w:rsidP="0055340F">
      <w:pPr>
        <w:pStyle w:val="Footnote"/>
        <w:jc w:val="both"/>
        <w:rPr>
          <w:lang w:val="en-GB"/>
        </w:rPr>
      </w:pPr>
      <w:proofErr w:type="spellStart"/>
      <w:r>
        <w:rPr>
          <w:lang w:val="en-GB"/>
        </w:rPr>
        <w:t>Ouseini</w:t>
      </w:r>
      <w:proofErr w:type="spellEnd"/>
      <w:r>
        <w:rPr>
          <w:lang w:val="en-GB"/>
        </w:rPr>
        <w:t xml:space="preserve"> G.</w:t>
      </w:r>
      <w:r w:rsidR="00B12A3D" w:rsidRPr="00BF3817">
        <w:rPr>
          <w:lang w:val="en-GB"/>
        </w:rPr>
        <w:t xml:space="preserve"> is</w:t>
      </w:r>
      <w:r>
        <w:rPr>
          <w:lang w:val="en-GB"/>
        </w:rPr>
        <w:t xml:space="preserve"> from </w:t>
      </w:r>
      <w:proofErr w:type="spellStart"/>
      <w:r>
        <w:rPr>
          <w:lang w:val="en-GB"/>
        </w:rPr>
        <w:t>Karkara</w:t>
      </w:r>
      <w:proofErr w:type="spellEnd"/>
      <w:r>
        <w:rPr>
          <w:lang w:val="en-GB"/>
        </w:rPr>
        <w:t xml:space="preserve"> NGO</w:t>
      </w:r>
      <w:r w:rsidR="00B12A3D" w:rsidRPr="00BF3817">
        <w:rPr>
          <w:lang w:val="en-GB"/>
        </w:rPr>
        <w:t>,</w:t>
      </w:r>
      <w:r>
        <w:rPr>
          <w:lang w:val="en-GB"/>
        </w:rPr>
        <w:t xml:space="preserve"> Niamey, Niger</w:t>
      </w:r>
      <w:r w:rsidR="00B12A3D" w:rsidRPr="00BF3817">
        <w:rPr>
          <w:lang w:val="en-GB"/>
        </w:rPr>
        <w:t xml:space="preserve"> (</w:t>
      </w:r>
      <w:r>
        <w:rPr>
          <w:lang w:val="en-GB"/>
        </w:rPr>
        <w:t>ouseini2000@yahoo.fr</w:t>
      </w:r>
      <w:r w:rsidR="00B12A3D" w:rsidRPr="00BF3817">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single" w:sz="6" w:space="0" w:color="777777"/>
        <w:right w:val="none" w:sz="0" w:space="0" w:color="auto"/>
        <w:insideH w:val="none" w:sz="0" w:space="0" w:color="auto"/>
        <w:insideV w:val="none" w:sz="0" w:space="0" w:color="auto"/>
      </w:tblBorders>
      <w:tblLook w:val="04A0" w:firstRow="1" w:lastRow="0" w:firstColumn="1" w:lastColumn="0" w:noHBand="0" w:noVBand="1"/>
    </w:tblPr>
    <w:tblGrid>
      <w:gridCol w:w="1013"/>
      <w:gridCol w:w="7240"/>
      <w:gridCol w:w="1262"/>
    </w:tblGrid>
    <w:tr w:rsidR="001B519B" w:rsidRPr="00994BAA" w:rsidTr="001B519B">
      <w:tc>
        <w:tcPr>
          <w:tcW w:w="2518" w:type="dxa"/>
          <w:vAlign w:val="center"/>
        </w:tcPr>
        <w:p w:rsidR="001B519B" w:rsidRPr="00994BAA" w:rsidRDefault="001B519B" w:rsidP="00262F68">
          <w:pPr>
            <w:pStyle w:val="En-tte"/>
            <w:rPr>
              <w:rFonts w:ascii="Verdana" w:hAnsi="Verdana"/>
              <w:color w:val="00B050"/>
              <w:lang w:val="en-GB"/>
            </w:rPr>
          </w:pPr>
        </w:p>
      </w:tc>
      <w:tc>
        <w:tcPr>
          <w:tcW w:w="3827" w:type="dxa"/>
          <w:vAlign w:val="center"/>
        </w:tcPr>
        <w:p w:rsidR="001B519B" w:rsidRPr="00994BAA" w:rsidRDefault="009532A3" w:rsidP="00262F68">
          <w:pPr>
            <w:pStyle w:val="En-tte"/>
            <w:spacing w:before="120" w:after="80"/>
            <w:jc w:val="center"/>
            <w:rPr>
              <w:rFonts w:ascii="Cambria" w:hAnsi="Cambria"/>
              <w:b/>
              <w:color w:val="00B050"/>
              <w:sz w:val="12"/>
              <w:szCs w:val="12"/>
              <w:lang w:val="en-GB"/>
            </w:rPr>
          </w:pPr>
          <w:r w:rsidRPr="00994BAA">
            <w:rPr>
              <w:rFonts w:ascii="Cambria" w:hAnsi="Cambria"/>
              <w:b/>
              <w:noProof/>
              <w:color w:val="00B050"/>
              <w:sz w:val="12"/>
              <w:szCs w:val="12"/>
              <w:lang w:val="fr-FR" w:eastAsia="fr-FR"/>
            </w:rPr>
            <w:drawing>
              <wp:inline distT="0" distB="0" distL="0" distR="0" wp14:anchorId="35EE2CED" wp14:editId="0D3E4EA0">
                <wp:extent cx="4441414" cy="626607"/>
                <wp:effectExtent l="19050" t="0" r="0" b="0"/>
                <wp:docPr id="1" name="Immagine 3" descr="D:\Documeti condivisi\AiCARE\PROGETTI\Agriculture in Urbanizing Society_Congresso 2015\Sito 2015_materiali\Loghi\Logo_AgUrb2015_withdates_second_Psh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ti condivisi\AiCARE\PROGETTI\Agriculture in Urbanizing Society_Congresso 2015\Sito 2015_materiali\Loghi\Logo_AgUrb2015_withdates_second_Pshop6.jpg"/>
                        <pic:cNvPicPr>
                          <a:picLocks noChangeAspect="1" noChangeArrowheads="1"/>
                        </pic:cNvPicPr>
                      </pic:nvPicPr>
                      <pic:blipFill>
                        <a:blip r:embed="rId1"/>
                        <a:srcRect/>
                        <a:stretch>
                          <a:fillRect/>
                        </a:stretch>
                      </pic:blipFill>
                      <pic:spPr bwMode="auto">
                        <a:xfrm>
                          <a:off x="0" y="0"/>
                          <a:ext cx="4492276" cy="633783"/>
                        </a:xfrm>
                        <a:prstGeom prst="rect">
                          <a:avLst/>
                        </a:prstGeom>
                        <a:noFill/>
                        <a:ln w="9525">
                          <a:noFill/>
                          <a:miter lim="800000"/>
                          <a:headEnd/>
                          <a:tailEnd/>
                        </a:ln>
                      </pic:spPr>
                    </pic:pic>
                  </a:graphicData>
                </a:graphic>
              </wp:inline>
            </w:drawing>
          </w:r>
        </w:p>
      </w:tc>
      <w:tc>
        <w:tcPr>
          <w:tcW w:w="3008" w:type="dxa"/>
          <w:vAlign w:val="center"/>
        </w:tcPr>
        <w:p w:rsidR="001B519B" w:rsidRPr="00994BAA" w:rsidRDefault="007655D7" w:rsidP="00262F68">
          <w:pPr>
            <w:pStyle w:val="En-tte"/>
            <w:jc w:val="right"/>
            <w:rPr>
              <w:rFonts w:ascii="Cambria" w:hAnsi="Cambria"/>
              <w:color w:val="00B050"/>
              <w:sz w:val="20"/>
              <w:szCs w:val="20"/>
              <w:lang w:val="en-GB"/>
            </w:rPr>
          </w:pPr>
          <w:r w:rsidRPr="00994BAA">
            <w:rPr>
              <w:rFonts w:ascii="Verdana" w:hAnsi="Verdana"/>
              <w:color w:val="00B050"/>
              <w:sz w:val="20"/>
              <w:szCs w:val="20"/>
              <w:lang w:val="en-GB"/>
            </w:rPr>
            <w:fldChar w:fldCharType="begin"/>
          </w:r>
          <w:r w:rsidR="001B519B" w:rsidRPr="00994BAA">
            <w:rPr>
              <w:rFonts w:ascii="Verdana" w:hAnsi="Verdana"/>
              <w:color w:val="00B050"/>
              <w:sz w:val="20"/>
              <w:szCs w:val="20"/>
              <w:lang w:val="en-GB"/>
            </w:rPr>
            <w:instrText>PAGE   \* MERGEFORMAT</w:instrText>
          </w:r>
          <w:r w:rsidRPr="00994BAA">
            <w:rPr>
              <w:rFonts w:ascii="Verdana" w:hAnsi="Verdana"/>
              <w:color w:val="00B050"/>
              <w:sz w:val="20"/>
              <w:szCs w:val="20"/>
              <w:lang w:val="en-GB"/>
            </w:rPr>
            <w:fldChar w:fldCharType="separate"/>
          </w:r>
          <w:r w:rsidR="009F19D6">
            <w:rPr>
              <w:rFonts w:ascii="Verdana" w:hAnsi="Verdana"/>
              <w:noProof/>
              <w:color w:val="00B050"/>
              <w:sz w:val="20"/>
              <w:szCs w:val="20"/>
              <w:lang w:val="en-GB"/>
            </w:rPr>
            <w:t>2</w:t>
          </w:r>
          <w:r w:rsidRPr="00994BAA">
            <w:rPr>
              <w:rFonts w:ascii="Verdana" w:hAnsi="Verdana"/>
              <w:color w:val="00B050"/>
              <w:sz w:val="20"/>
              <w:szCs w:val="20"/>
              <w:lang w:val="en-GB"/>
            </w:rPr>
            <w:fldChar w:fldCharType="end"/>
          </w:r>
        </w:p>
      </w:tc>
    </w:tr>
  </w:tbl>
  <w:p w:rsidR="001B519B" w:rsidRPr="001B519B" w:rsidRDefault="001B519B" w:rsidP="000D6B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1279"/>
    <w:multiLevelType w:val="hybridMultilevel"/>
    <w:tmpl w:val="2BA47726"/>
    <w:lvl w:ilvl="0" w:tplc="A5F6453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CE"/>
    <w:rsid w:val="0000135C"/>
    <w:rsid w:val="00013242"/>
    <w:rsid w:val="00063AC4"/>
    <w:rsid w:val="00073BA2"/>
    <w:rsid w:val="000766A8"/>
    <w:rsid w:val="00082BA8"/>
    <w:rsid w:val="000839FB"/>
    <w:rsid w:val="000965F0"/>
    <w:rsid w:val="000A201C"/>
    <w:rsid w:val="000C5094"/>
    <w:rsid w:val="000D1023"/>
    <w:rsid w:val="000D5455"/>
    <w:rsid w:val="000D6B6F"/>
    <w:rsid w:val="000E0B4A"/>
    <w:rsid w:val="000E13AB"/>
    <w:rsid w:val="000E3E47"/>
    <w:rsid w:val="000E74B8"/>
    <w:rsid w:val="000E78FC"/>
    <w:rsid w:val="00103CE2"/>
    <w:rsid w:val="00142308"/>
    <w:rsid w:val="001678D0"/>
    <w:rsid w:val="001830D3"/>
    <w:rsid w:val="001A0BC2"/>
    <w:rsid w:val="001A40D4"/>
    <w:rsid w:val="001B0B3E"/>
    <w:rsid w:val="001B31EB"/>
    <w:rsid w:val="001B519B"/>
    <w:rsid w:val="001D4C5F"/>
    <w:rsid w:val="001F1E2E"/>
    <w:rsid w:val="001F2E5F"/>
    <w:rsid w:val="001F6832"/>
    <w:rsid w:val="001F70E5"/>
    <w:rsid w:val="0020461B"/>
    <w:rsid w:val="00221AC8"/>
    <w:rsid w:val="00240263"/>
    <w:rsid w:val="00240303"/>
    <w:rsid w:val="002427DF"/>
    <w:rsid w:val="00243F84"/>
    <w:rsid w:val="00262C32"/>
    <w:rsid w:val="00285D11"/>
    <w:rsid w:val="00286332"/>
    <w:rsid w:val="00294212"/>
    <w:rsid w:val="002C3BDF"/>
    <w:rsid w:val="002C665E"/>
    <w:rsid w:val="002D204E"/>
    <w:rsid w:val="00303353"/>
    <w:rsid w:val="00334B9F"/>
    <w:rsid w:val="00350B09"/>
    <w:rsid w:val="0036051D"/>
    <w:rsid w:val="0039785E"/>
    <w:rsid w:val="003A0493"/>
    <w:rsid w:val="003D58C2"/>
    <w:rsid w:val="003F7366"/>
    <w:rsid w:val="00405D42"/>
    <w:rsid w:val="004144B6"/>
    <w:rsid w:val="00420522"/>
    <w:rsid w:val="00433F37"/>
    <w:rsid w:val="0043791D"/>
    <w:rsid w:val="0047142A"/>
    <w:rsid w:val="00473026"/>
    <w:rsid w:val="0048339D"/>
    <w:rsid w:val="004B4206"/>
    <w:rsid w:val="004C19B3"/>
    <w:rsid w:val="004C4D87"/>
    <w:rsid w:val="004D1DF9"/>
    <w:rsid w:val="004D55CD"/>
    <w:rsid w:val="004E55A6"/>
    <w:rsid w:val="0050467A"/>
    <w:rsid w:val="00513039"/>
    <w:rsid w:val="00514837"/>
    <w:rsid w:val="00534A84"/>
    <w:rsid w:val="00543B8B"/>
    <w:rsid w:val="005474F3"/>
    <w:rsid w:val="0055340F"/>
    <w:rsid w:val="005E052A"/>
    <w:rsid w:val="005F4AAA"/>
    <w:rsid w:val="00602825"/>
    <w:rsid w:val="00614FCC"/>
    <w:rsid w:val="006243F7"/>
    <w:rsid w:val="00653EC1"/>
    <w:rsid w:val="00655938"/>
    <w:rsid w:val="00663BBB"/>
    <w:rsid w:val="0066650B"/>
    <w:rsid w:val="00681417"/>
    <w:rsid w:val="00686F86"/>
    <w:rsid w:val="006B0B08"/>
    <w:rsid w:val="006C452D"/>
    <w:rsid w:val="006C572F"/>
    <w:rsid w:val="006E0984"/>
    <w:rsid w:val="006E0A88"/>
    <w:rsid w:val="006E5684"/>
    <w:rsid w:val="00732BF2"/>
    <w:rsid w:val="007655D7"/>
    <w:rsid w:val="0077304F"/>
    <w:rsid w:val="007B4FCE"/>
    <w:rsid w:val="007C6A50"/>
    <w:rsid w:val="007E580B"/>
    <w:rsid w:val="007F2AF0"/>
    <w:rsid w:val="007F423C"/>
    <w:rsid w:val="00805189"/>
    <w:rsid w:val="00807461"/>
    <w:rsid w:val="0082429B"/>
    <w:rsid w:val="00826DE4"/>
    <w:rsid w:val="00832B84"/>
    <w:rsid w:val="0083628E"/>
    <w:rsid w:val="00850022"/>
    <w:rsid w:val="00853128"/>
    <w:rsid w:val="008636B9"/>
    <w:rsid w:val="008704E9"/>
    <w:rsid w:val="008818E4"/>
    <w:rsid w:val="008936A7"/>
    <w:rsid w:val="008B0112"/>
    <w:rsid w:val="008B0641"/>
    <w:rsid w:val="008C5141"/>
    <w:rsid w:val="008E0880"/>
    <w:rsid w:val="008F27C0"/>
    <w:rsid w:val="00900709"/>
    <w:rsid w:val="00916AC9"/>
    <w:rsid w:val="00917D3C"/>
    <w:rsid w:val="0093296F"/>
    <w:rsid w:val="00945380"/>
    <w:rsid w:val="009532A3"/>
    <w:rsid w:val="00965C57"/>
    <w:rsid w:val="00972F23"/>
    <w:rsid w:val="00974A4A"/>
    <w:rsid w:val="009913B4"/>
    <w:rsid w:val="00994BAA"/>
    <w:rsid w:val="00996206"/>
    <w:rsid w:val="009A0E1D"/>
    <w:rsid w:val="009A7CDD"/>
    <w:rsid w:val="009E1D58"/>
    <w:rsid w:val="009E4870"/>
    <w:rsid w:val="009E5BB7"/>
    <w:rsid w:val="009F19D6"/>
    <w:rsid w:val="009F2084"/>
    <w:rsid w:val="00A2627C"/>
    <w:rsid w:val="00A278B6"/>
    <w:rsid w:val="00A36F85"/>
    <w:rsid w:val="00A544DE"/>
    <w:rsid w:val="00A60178"/>
    <w:rsid w:val="00AB65F9"/>
    <w:rsid w:val="00AE762A"/>
    <w:rsid w:val="00AF24EB"/>
    <w:rsid w:val="00AF6B74"/>
    <w:rsid w:val="00B051BA"/>
    <w:rsid w:val="00B12A3D"/>
    <w:rsid w:val="00B51306"/>
    <w:rsid w:val="00B57D4C"/>
    <w:rsid w:val="00B60C25"/>
    <w:rsid w:val="00B83878"/>
    <w:rsid w:val="00B9276C"/>
    <w:rsid w:val="00B9580A"/>
    <w:rsid w:val="00BC544F"/>
    <w:rsid w:val="00BD295C"/>
    <w:rsid w:val="00BD504B"/>
    <w:rsid w:val="00BF3817"/>
    <w:rsid w:val="00BF3FFE"/>
    <w:rsid w:val="00BF7B20"/>
    <w:rsid w:val="00C26FC1"/>
    <w:rsid w:val="00C5734F"/>
    <w:rsid w:val="00C60D91"/>
    <w:rsid w:val="00C70907"/>
    <w:rsid w:val="00C979BE"/>
    <w:rsid w:val="00CA6D2D"/>
    <w:rsid w:val="00CD345E"/>
    <w:rsid w:val="00CD3CBE"/>
    <w:rsid w:val="00CD5A2F"/>
    <w:rsid w:val="00CF508E"/>
    <w:rsid w:val="00D23870"/>
    <w:rsid w:val="00D320E4"/>
    <w:rsid w:val="00D54350"/>
    <w:rsid w:val="00D61A41"/>
    <w:rsid w:val="00D61EAF"/>
    <w:rsid w:val="00D7446A"/>
    <w:rsid w:val="00D83CD9"/>
    <w:rsid w:val="00DA66A2"/>
    <w:rsid w:val="00DB205D"/>
    <w:rsid w:val="00DB35D2"/>
    <w:rsid w:val="00DC5144"/>
    <w:rsid w:val="00E2069C"/>
    <w:rsid w:val="00E21F55"/>
    <w:rsid w:val="00E31639"/>
    <w:rsid w:val="00E61C43"/>
    <w:rsid w:val="00E86ABD"/>
    <w:rsid w:val="00E90BBF"/>
    <w:rsid w:val="00E95E05"/>
    <w:rsid w:val="00EA1A08"/>
    <w:rsid w:val="00EA4516"/>
    <w:rsid w:val="00ED4817"/>
    <w:rsid w:val="00EF416E"/>
    <w:rsid w:val="00F000E6"/>
    <w:rsid w:val="00F204D1"/>
    <w:rsid w:val="00F31BB1"/>
    <w:rsid w:val="00F445EB"/>
    <w:rsid w:val="00F562B7"/>
    <w:rsid w:val="00F57C0C"/>
    <w:rsid w:val="00F7029F"/>
    <w:rsid w:val="00F87E77"/>
    <w:rsid w:val="00FA5E38"/>
    <w:rsid w:val="00FB39C1"/>
    <w:rsid w:val="00FD4A0A"/>
    <w:rsid w:val="00FE75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da-DK" w:eastAsia="da-DK"/>
    </w:rPr>
  </w:style>
  <w:style w:type="paragraph" w:styleId="Titre1">
    <w:name w:val="heading 1"/>
    <w:aliases w:val="heading2"/>
    <w:basedOn w:val="Normal"/>
    <w:next w:val="Normal"/>
    <w:qFormat/>
    <w:pPr>
      <w:keepNext/>
      <w:outlineLvl w:val="0"/>
    </w:pPr>
    <w:rPr>
      <w:b/>
      <w:bCs/>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1">
    <w:name w:val="Titel1"/>
    <w:basedOn w:val="Titre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Titre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Titre1"/>
    <w:pPr>
      <w:spacing w:after="40" w:line="220" w:lineRule="atLeast"/>
      <w:jc w:val="center"/>
    </w:pPr>
    <w:rPr>
      <w:rFonts w:ascii="Verdana" w:hAnsi="Verdana"/>
      <w:b w:val="0"/>
      <w:bCs w:val="0"/>
      <w:smallCaps/>
      <w:sz w:val="18"/>
      <w:lang w:val="en-GB"/>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Footnote">
    <w:name w:val="Foot note"/>
    <w:basedOn w:val="Notedebasdepage"/>
    <w:pPr>
      <w:tabs>
        <w:tab w:val="left" w:pos="240"/>
      </w:tabs>
      <w:spacing w:line="160" w:lineRule="atLeast"/>
    </w:pPr>
    <w:rPr>
      <w:rFonts w:ascii="Verdana" w:hAnsi="Verdana"/>
      <w:sz w:val="12"/>
    </w:rPr>
  </w:style>
  <w:style w:type="character" w:styleId="Lienhypertexte">
    <w:name w:val="Hyperlink"/>
    <w:rPr>
      <w:color w:val="0000FF"/>
      <w:u w:val="single"/>
    </w:rPr>
  </w:style>
  <w:style w:type="paragraph" w:styleId="Corpsdetexte">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Pieddepage">
    <w:name w:val="footer"/>
    <w:basedOn w:val="Normal"/>
    <w:rsid w:val="00CD5A2F"/>
    <w:pPr>
      <w:tabs>
        <w:tab w:val="center" w:pos="4536"/>
        <w:tab w:val="right" w:pos="9072"/>
      </w:tabs>
    </w:pPr>
  </w:style>
  <w:style w:type="character" w:styleId="Numrodepage">
    <w:name w:val="page number"/>
    <w:basedOn w:val="Policepardfaut"/>
    <w:rsid w:val="00CD5A2F"/>
  </w:style>
  <w:style w:type="paragraph" w:styleId="En-tte">
    <w:name w:val="header"/>
    <w:basedOn w:val="Normal"/>
    <w:link w:val="En-tteCar"/>
    <w:uiPriority w:val="99"/>
    <w:rsid w:val="00CD5A2F"/>
    <w:pPr>
      <w:tabs>
        <w:tab w:val="center" w:pos="4536"/>
        <w:tab w:val="right" w:pos="9072"/>
      </w:tabs>
    </w:pPr>
  </w:style>
  <w:style w:type="paragraph" w:styleId="Textedebulles">
    <w:name w:val="Balloon Text"/>
    <w:basedOn w:val="Normal"/>
    <w:semiHidden/>
    <w:rsid w:val="006C572F"/>
    <w:rPr>
      <w:rFonts w:ascii="Tahoma" w:hAnsi="Tahoma" w:cs="Tahoma"/>
      <w:sz w:val="16"/>
      <w:szCs w:val="16"/>
    </w:rPr>
  </w:style>
  <w:style w:type="character" w:styleId="Marquedecommentaire">
    <w:name w:val="annotation reference"/>
    <w:semiHidden/>
    <w:rsid w:val="002427DF"/>
    <w:rPr>
      <w:sz w:val="16"/>
      <w:szCs w:val="16"/>
    </w:rPr>
  </w:style>
  <w:style w:type="paragraph" w:styleId="Commentaire">
    <w:name w:val="annotation text"/>
    <w:basedOn w:val="Normal"/>
    <w:semiHidden/>
    <w:rsid w:val="002427DF"/>
    <w:rPr>
      <w:sz w:val="20"/>
      <w:szCs w:val="20"/>
    </w:rPr>
  </w:style>
  <w:style w:type="paragraph" w:styleId="Objetducommentaire">
    <w:name w:val="annotation subject"/>
    <w:basedOn w:val="Commentaire"/>
    <w:next w:val="Commentaire"/>
    <w:semiHidden/>
    <w:rsid w:val="002427DF"/>
    <w:rPr>
      <w:b/>
      <w:bCs/>
    </w:rPr>
  </w:style>
  <w:style w:type="table" w:styleId="Grilledutableau">
    <w:name w:val="Table Grid"/>
    <w:basedOn w:val="TableauNormal"/>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1B519B"/>
    <w:rPr>
      <w:rFonts w:ascii="Garamond" w:hAnsi="Garamond"/>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da-DK" w:eastAsia="da-DK"/>
    </w:rPr>
  </w:style>
  <w:style w:type="paragraph" w:styleId="Titre1">
    <w:name w:val="heading 1"/>
    <w:aliases w:val="heading2"/>
    <w:basedOn w:val="Normal"/>
    <w:next w:val="Normal"/>
    <w:qFormat/>
    <w:pPr>
      <w:keepNext/>
      <w:outlineLvl w:val="0"/>
    </w:pPr>
    <w:rPr>
      <w:b/>
      <w:bCs/>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1">
    <w:name w:val="Titel1"/>
    <w:basedOn w:val="Titre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Titre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Titre1"/>
    <w:pPr>
      <w:spacing w:after="40" w:line="220" w:lineRule="atLeast"/>
      <w:jc w:val="center"/>
    </w:pPr>
    <w:rPr>
      <w:rFonts w:ascii="Verdana" w:hAnsi="Verdana"/>
      <w:b w:val="0"/>
      <w:bCs w:val="0"/>
      <w:smallCaps/>
      <w:sz w:val="18"/>
      <w:lang w:val="en-GB"/>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Footnote">
    <w:name w:val="Foot note"/>
    <w:basedOn w:val="Notedebasdepage"/>
    <w:pPr>
      <w:tabs>
        <w:tab w:val="left" w:pos="240"/>
      </w:tabs>
      <w:spacing w:line="160" w:lineRule="atLeast"/>
    </w:pPr>
    <w:rPr>
      <w:rFonts w:ascii="Verdana" w:hAnsi="Verdana"/>
      <w:sz w:val="12"/>
    </w:rPr>
  </w:style>
  <w:style w:type="character" w:styleId="Lienhypertexte">
    <w:name w:val="Hyperlink"/>
    <w:rPr>
      <w:color w:val="0000FF"/>
      <w:u w:val="single"/>
    </w:rPr>
  </w:style>
  <w:style w:type="paragraph" w:styleId="Corpsdetexte">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Pieddepage">
    <w:name w:val="footer"/>
    <w:basedOn w:val="Normal"/>
    <w:rsid w:val="00CD5A2F"/>
    <w:pPr>
      <w:tabs>
        <w:tab w:val="center" w:pos="4536"/>
        <w:tab w:val="right" w:pos="9072"/>
      </w:tabs>
    </w:pPr>
  </w:style>
  <w:style w:type="character" w:styleId="Numrodepage">
    <w:name w:val="page number"/>
    <w:basedOn w:val="Policepardfaut"/>
    <w:rsid w:val="00CD5A2F"/>
  </w:style>
  <w:style w:type="paragraph" w:styleId="En-tte">
    <w:name w:val="header"/>
    <w:basedOn w:val="Normal"/>
    <w:link w:val="En-tteCar"/>
    <w:uiPriority w:val="99"/>
    <w:rsid w:val="00CD5A2F"/>
    <w:pPr>
      <w:tabs>
        <w:tab w:val="center" w:pos="4536"/>
        <w:tab w:val="right" w:pos="9072"/>
      </w:tabs>
    </w:pPr>
  </w:style>
  <w:style w:type="paragraph" w:styleId="Textedebulles">
    <w:name w:val="Balloon Text"/>
    <w:basedOn w:val="Normal"/>
    <w:semiHidden/>
    <w:rsid w:val="006C572F"/>
    <w:rPr>
      <w:rFonts w:ascii="Tahoma" w:hAnsi="Tahoma" w:cs="Tahoma"/>
      <w:sz w:val="16"/>
      <w:szCs w:val="16"/>
    </w:rPr>
  </w:style>
  <w:style w:type="character" w:styleId="Marquedecommentaire">
    <w:name w:val="annotation reference"/>
    <w:semiHidden/>
    <w:rsid w:val="002427DF"/>
    <w:rPr>
      <w:sz w:val="16"/>
      <w:szCs w:val="16"/>
    </w:rPr>
  </w:style>
  <w:style w:type="paragraph" w:styleId="Commentaire">
    <w:name w:val="annotation text"/>
    <w:basedOn w:val="Normal"/>
    <w:semiHidden/>
    <w:rsid w:val="002427DF"/>
    <w:rPr>
      <w:sz w:val="20"/>
      <w:szCs w:val="20"/>
    </w:rPr>
  </w:style>
  <w:style w:type="paragraph" w:styleId="Objetducommentaire">
    <w:name w:val="annotation subject"/>
    <w:basedOn w:val="Commentaire"/>
    <w:next w:val="Commentaire"/>
    <w:semiHidden/>
    <w:rsid w:val="002427DF"/>
    <w:rPr>
      <w:b/>
      <w:bCs/>
    </w:rPr>
  </w:style>
  <w:style w:type="table" w:styleId="Grilledutableau">
    <w:name w:val="Table Grid"/>
    <w:basedOn w:val="TableauNormal"/>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1B519B"/>
    <w:rPr>
      <w:rFonts w:ascii="Garamond" w:hAnsi="Garamond"/>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14338361">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 w:id="15606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kabeloner\TO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3EC3-812F-4DCC-8213-F2009B6A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emplate>
  <TotalTime>0</TotalTime>
  <Pages>2</Pages>
  <Words>1456</Words>
  <Characters>8014</Characters>
  <Application>Microsoft Office Word</Application>
  <DocSecurity>0</DocSecurity>
  <Lines>66</Lines>
  <Paragraphs>18</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13</vt:i4>
      </vt:variant>
    </vt:vector>
  </HeadingPairs>
  <TitlesOfParts>
    <vt:vector size="15" baseType="lpstr">
      <vt:lpstr>Preparation and submission of extended ab-stracts for the Joint Organic Congress 2006</vt:lpstr>
      <vt:lpstr>Preparation and submission of extended ab-stracts for the Joint Organic Congress 2006</vt:lpstr>
      <vt:lpstr>Title</vt:lpstr>
      <vt:lpstr/>
      <vt:lpstr>    First A. Author, Second B. Author, und Third C. Author1</vt:lpstr>
      <vt:lpstr>    </vt:lpstr>
      <vt:lpstr>    </vt:lpstr>
      <vt:lpstr>    </vt:lpstr>
      <vt:lpstr>Introduction to using the template</vt:lpstr>
      <vt:lpstr>Procedure for Short paper submission</vt:lpstr>
      <vt:lpstr>Structure of the short paper</vt:lpstr>
      <vt:lpstr>Helpful hints on formatting</vt:lpstr>
      <vt:lpstr>Guidelines for references</vt:lpstr>
      <vt:lpstr>Acknowledgement</vt:lpstr>
      <vt:lpstr>References</vt:lpstr>
    </vt:vector>
  </TitlesOfParts>
  <Company>DJF</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Renard Olivier</cp:lastModifiedBy>
  <cp:revision>2</cp:revision>
  <cp:lastPrinted>2010-01-26T12:47:00Z</cp:lastPrinted>
  <dcterms:created xsi:type="dcterms:W3CDTF">2015-08-25T08:02:00Z</dcterms:created>
  <dcterms:modified xsi:type="dcterms:W3CDTF">2015-08-25T08:02:00Z</dcterms:modified>
</cp:coreProperties>
</file>