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3" w:rsidRDefault="00114D73" w:rsidP="008E74F1">
      <w:pPr>
        <w:pStyle w:val="Titre"/>
        <w:numPr>
          <w:ilvl w:val="0"/>
          <w:numId w:val="0"/>
        </w:numPr>
        <w:jc w:val="both"/>
      </w:pPr>
      <w:r>
        <w:t>Note de plaidoyer – projet Nariindu</w:t>
      </w:r>
      <w:r w:rsidR="00A5057A">
        <w:t> :</w:t>
      </w:r>
      <w:r w:rsidR="00A5057A" w:rsidRPr="00D75C55">
        <w:t xml:space="preserve"> </w:t>
      </w:r>
      <w:r w:rsidR="00A5057A" w:rsidRPr="00114D73">
        <w:rPr>
          <w:i/>
        </w:rPr>
        <w:t>approvisionner durablement Niamey en lait local par les petits éleveurs</w:t>
      </w:r>
      <w:r w:rsidR="00A5057A" w:rsidRPr="00D75C55">
        <w:t xml:space="preserve">  </w:t>
      </w:r>
    </w:p>
    <w:p w:rsidR="00114D73" w:rsidRDefault="00114D73" w:rsidP="00114D73"/>
    <w:p w:rsidR="00114D73" w:rsidRPr="008E74F1" w:rsidRDefault="00114D73" w:rsidP="00114D73">
      <w:pPr>
        <w:pStyle w:val="Titre1"/>
        <w:numPr>
          <w:ilvl w:val="0"/>
          <w:numId w:val="0"/>
        </w:numPr>
        <w:rPr>
          <w:i/>
        </w:rPr>
      </w:pPr>
      <w:r w:rsidRPr="008E74F1">
        <w:rPr>
          <w:i/>
        </w:rPr>
        <w:t>Pour une filière lait locale dynamique, des débouchés réguliers et rémunérateurs pour les éleveurs, des produits accessibles, sains et à l’origine garantie pour les consommateurs nigériens</w:t>
      </w:r>
    </w:p>
    <w:p w:rsidR="00114D73" w:rsidRDefault="00114D73" w:rsidP="00114D73"/>
    <w:p w:rsidR="009E2C49" w:rsidRDefault="009E2C49" w:rsidP="00114D73">
      <w:pPr>
        <w:pStyle w:val="Titre2"/>
        <w:numPr>
          <w:ilvl w:val="0"/>
          <w:numId w:val="0"/>
        </w:numPr>
      </w:pPr>
    </w:p>
    <w:p w:rsidR="00114D73" w:rsidRDefault="00114D73" w:rsidP="00114D73">
      <w:pPr>
        <w:pStyle w:val="Titre2"/>
        <w:numPr>
          <w:ilvl w:val="0"/>
          <w:numId w:val="0"/>
        </w:numPr>
      </w:pPr>
      <w:r>
        <w:t>Ce que le projet Nariindu  a permis à ce jour :</w:t>
      </w:r>
    </w:p>
    <w:p w:rsidR="00114D73" w:rsidRDefault="00114D73" w:rsidP="008E74F1">
      <w:pPr>
        <w:numPr>
          <w:ilvl w:val="0"/>
          <w:numId w:val="4"/>
        </w:numPr>
      </w:pPr>
      <w:r>
        <w:t>Des centres multi-services aux compétences renforcées, à l’équilibre financièrement, une augmentation des prix du lait négociée, un engagement de long terme</w:t>
      </w:r>
      <w:r w:rsidR="00A5057A">
        <w:t xml:space="preserve"> du partenaire SOLANI</w:t>
      </w:r>
      <w:r>
        <w:t>, des perspectives prometteuses avec le développement de produits « 100% locaux » ;</w:t>
      </w:r>
    </w:p>
    <w:p w:rsidR="00114D73" w:rsidRDefault="00114D73" w:rsidP="008E74F1">
      <w:pPr>
        <w:numPr>
          <w:ilvl w:val="0"/>
          <w:numId w:val="4"/>
        </w:numPr>
      </w:pPr>
      <w:r>
        <w:t>Des Organisations de Producteurs (les coopératives UPROLAIT et KAWTAL) qui rendent des services importants à leurs membres : négociation des prix, achat de la production, achats groupés d’aliments pour le bétail à coûts réduits au Burkina et au Bénin, conseils pour assurer une production de qualité, améliorer les pratiques d’élevage ;</w:t>
      </w:r>
    </w:p>
    <w:p w:rsidR="00114D73" w:rsidRDefault="00114D73" w:rsidP="008E74F1">
      <w:pPr>
        <w:numPr>
          <w:ilvl w:val="0"/>
          <w:numId w:val="4"/>
        </w:numPr>
      </w:pPr>
      <w:r>
        <w:t xml:space="preserve">Plus de 1000 litres par jour collectés par chaque centre en période de pic en 2015 ; 30% des approvisionnements </w:t>
      </w:r>
      <w:r w:rsidR="00A5057A">
        <w:t xml:space="preserve">de SOLANI, </w:t>
      </w:r>
      <w:r>
        <w:t>assurés par les centres ;</w:t>
      </w:r>
    </w:p>
    <w:p w:rsidR="00114D73" w:rsidRDefault="00114D73" w:rsidP="008E74F1">
      <w:pPr>
        <w:numPr>
          <w:ilvl w:val="0"/>
          <w:numId w:val="4"/>
        </w:numPr>
        <w:rPr>
          <w:lang w:eastAsia="fr-FR"/>
        </w:rPr>
      </w:pPr>
      <w:r>
        <w:rPr>
          <w:lang w:eastAsia="fr-FR"/>
        </w:rPr>
        <w:t>Une concertation locale entre les acteurs de la filière et les autorités, des création</w:t>
      </w:r>
      <w:r w:rsidR="00A5057A">
        <w:rPr>
          <w:lang w:eastAsia="fr-FR"/>
        </w:rPr>
        <w:t>s</w:t>
      </w:r>
      <w:r>
        <w:rPr>
          <w:lang w:eastAsia="fr-FR"/>
        </w:rPr>
        <w:t xml:space="preserve"> d’emploi </w:t>
      </w:r>
      <w:r w:rsidR="00A5057A">
        <w:rPr>
          <w:lang w:eastAsia="fr-FR"/>
        </w:rPr>
        <w:t xml:space="preserve">localement </w:t>
      </w:r>
      <w:r>
        <w:rPr>
          <w:lang w:eastAsia="fr-FR"/>
        </w:rPr>
        <w:t xml:space="preserve">pour des jeunes (producteurs, collecteurs en vélo, à moto). </w:t>
      </w:r>
    </w:p>
    <w:p w:rsidR="00114D73" w:rsidRDefault="009E2C49" w:rsidP="00114D73">
      <w:r>
        <w:br w:type="page"/>
      </w:r>
    </w:p>
    <w:p w:rsidR="00114D73" w:rsidRDefault="00114D73" w:rsidP="00114D73">
      <w:pPr>
        <w:pStyle w:val="Titre2"/>
        <w:numPr>
          <w:ilvl w:val="0"/>
          <w:numId w:val="0"/>
        </w:numPr>
        <w:ind w:left="576" w:hanging="576"/>
      </w:pPr>
      <w:r>
        <w:lastRenderedPageBreak/>
        <w:t>Des défis encore importants à relever :</w:t>
      </w:r>
    </w:p>
    <w:p w:rsidR="008E74F1" w:rsidRDefault="008E74F1" w:rsidP="008E74F1">
      <w:pPr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De centres laitiers multi-services prometteurs, </w:t>
      </w:r>
      <w:r w:rsidR="00A5057A">
        <w:rPr>
          <w:lang w:eastAsia="fr-FR"/>
        </w:rPr>
        <w:t xml:space="preserve">mais des modèles institutionnels et techniques encore à construire </w:t>
      </w:r>
      <w:r>
        <w:rPr>
          <w:lang w:eastAsia="fr-FR"/>
        </w:rPr>
        <w:t>(gestion directe par une OP ou délégation de gestion, vente de lait frais seule ou transformation partielle</w:t>
      </w:r>
      <w:r w:rsidR="00A5057A">
        <w:rPr>
          <w:lang w:eastAsia="fr-FR"/>
        </w:rPr>
        <w:t>, rôle de la laiterie dans la gouvernance…</w:t>
      </w:r>
      <w:r>
        <w:rPr>
          <w:lang w:eastAsia="fr-FR"/>
        </w:rPr>
        <w:t>)</w:t>
      </w:r>
      <w:r w:rsidR="00A5057A">
        <w:rPr>
          <w:lang w:eastAsia="fr-FR"/>
        </w:rPr>
        <w:t> ;</w:t>
      </w:r>
    </w:p>
    <w:p w:rsidR="00114D73" w:rsidRDefault="008E74F1" w:rsidP="008E74F1">
      <w:pPr>
        <w:numPr>
          <w:ilvl w:val="0"/>
          <w:numId w:val="5"/>
        </w:numPr>
      </w:pPr>
      <w:r>
        <w:t>Des centres encore fragiles financièrement et structurellement, dont les services rendus do</w:t>
      </w:r>
      <w:r w:rsidR="00114D73">
        <w:t xml:space="preserve">ivent être </w:t>
      </w:r>
      <w:r>
        <w:t>pérennisés dans le temps (formation, appui-conseil, accès aux finances)</w:t>
      </w:r>
      <w:r w:rsidR="00114D73">
        <w:t>;</w:t>
      </w:r>
    </w:p>
    <w:p w:rsidR="00114D73" w:rsidRDefault="008E74F1" w:rsidP="008E74F1">
      <w:pPr>
        <w:numPr>
          <w:ilvl w:val="0"/>
          <w:numId w:val="5"/>
        </w:numPr>
        <w:rPr>
          <w:lang w:eastAsia="fr-FR"/>
        </w:rPr>
      </w:pPr>
      <w:r>
        <w:rPr>
          <w:lang w:eastAsia="fr-FR"/>
        </w:rPr>
        <w:t xml:space="preserve">Des zones de transhumance proches, à davantage exploiter pour la production laitière, </w:t>
      </w:r>
      <w:bookmarkStart w:id="0" w:name="_GoBack"/>
      <w:r>
        <w:rPr>
          <w:lang w:eastAsia="fr-FR"/>
        </w:rPr>
        <w:t>pour éviter le creux de collecte en hivernage</w:t>
      </w:r>
      <w:r w:rsidR="00114D73">
        <w:rPr>
          <w:lang w:eastAsia="fr-FR"/>
        </w:rPr>
        <w:t>.</w:t>
      </w:r>
    </w:p>
    <w:bookmarkEnd w:id="0"/>
    <w:p w:rsidR="00114D73" w:rsidRDefault="00114D73" w:rsidP="00114D73">
      <w:pPr>
        <w:rPr>
          <w:lang w:eastAsia="fr-FR"/>
        </w:rPr>
      </w:pPr>
    </w:p>
    <w:p w:rsidR="00114D73" w:rsidRDefault="00114D73" w:rsidP="00114D73">
      <w:pPr>
        <w:rPr>
          <w:lang w:eastAsia="fr-FR"/>
        </w:rPr>
      </w:pPr>
    </w:p>
    <w:p w:rsidR="00114D73" w:rsidRDefault="00114D73" w:rsidP="00114D73">
      <w:pPr>
        <w:pStyle w:val="Titre2"/>
        <w:numPr>
          <w:ilvl w:val="0"/>
          <w:numId w:val="0"/>
        </w:numPr>
        <w:ind w:left="576" w:hanging="576"/>
      </w:pPr>
      <w:r>
        <w:t>Un soutien des autorités possible et attendu sur quelques points-clé :</w:t>
      </w:r>
    </w:p>
    <w:p w:rsidR="00114D73" w:rsidRDefault="00A5057A" w:rsidP="00A5057A">
      <w:pPr>
        <w:pStyle w:val="Titre3"/>
        <w:numPr>
          <w:ilvl w:val="0"/>
          <w:numId w:val="0"/>
        </w:numPr>
        <w:ind w:left="720" w:hanging="720"/>
      </w:pPr>
      <w:r>
        <w:t xml:space="preserve">Un contexte sous régional inquiétant  </w:t>
      </w:r>
    </w:p>
    <w:p w:rsidR="00A5057A" w:rsidRDefault="00114D73" w:rsidP="00114D73">
      <w:pPr>
        <w:rPr>
          <w:lang w:eastAsia="fr-FR"/>
        </w:rPr>
      </w:pPr>
      <w:r>
        <w:rPr>
          <w:lang w:eastAsia="fr-FR"/>
        </w:rPr>
        <w:t>Le TEC UEMOA et les APE, couplés avec la fin des quotas laitiers, vo</w:t>
      </w:r>
      <w:r w:rsidR="00A5057A">
        <w:rPr>
          <w:lang w:eastAsia="fr-FR"/>
        </w:rPr>
        <w:t>nt rendre la poudre de lait de plus</w:t>
      </w:r>
      <w:r>
        <w:rPr>
          <w:lang w:eastAsia="fr-FR"/>
        </w:rPr>
        <w:t xml:space="preserve"> en </w:t>
      </w:r>
      <w:r w:rsidR="00A5057A">
        <w:rPr>
          <w:lang w:eastAsia="fr-FR"/>
        </w:rPr>
        <w:t xml:space="preserve">plus </w:t>
      </w:r>
      <w:r>
        <w:rPr>
          <w:lang w:eastAsia="fr-FR"/>
        </w:rPr>
        <w:t xml:space="preserve">attractive pour l’industrie laitière. </w:t>
      </w:r>
    </w:p>
    <w:p w:rsidR="00114D73" w:rsidRDefault="00114D73" w:rsidP="00114D73">
      <w:pPr>
        <w:rPr>
          <w:lang w:eastAsia="fr-FR"/>
        </w:rPr>
      </w:pPr>
      <w:r>
        <w:rPr>
          <w:lang w:eastAsia="fr-FR"/>
        </w:rPr>
        <w:t>Le développement du marché local</w:t>
      </w:r>
      <w:r w:rsidR="00A5057A">
        <w:rPr>
          <w:lang w:eastAsia="fr-FR"/>
        </w:rPr>
        <w:t xml:space="preserve">, qui a un </w:t>
      </w:r>
      <w:r>
        <w:rPr>
          <w:lang w:eastAsia="fr-FR"/>
        </w:rPr>
        <w:t>impact socio-éco</w:t>
      </w:r>
      <w:r w:rsidR="00A5057A">
        <w:rPr>
          <w:lang w:eastAsia="fr-FR"/>
        </w:rPr>
        <w:t>nomique</w:t>
      </w:r>
      <w:r>
        <w:rPr>
          <w:lang w:eastAsia="fr-FR"/>
        </w:rPr>
        <w:t>, culturel, environnemental</w:t>
      </w:r>
      <w:r w:rsidR="00A5057A">
        <w:rPr>
          <w:lang w:eastAsia="fr-FR"/>
        </w:rPr>
        <w:t xml:space="preserve"> très important, </w:t>
      </w:r>
      <w:r>
        <w:rPr>
          <w:lang w:eastAsia="fr-FR"/>
        </w:rPr>
        <w:t>nécessite donc de la part des autorités une politique active d’ap</w:t>
      </w:r>
      <w:r w:rsidR="00A5057A">
        <w:rPr>
          <w:lang w:eastAsia="fr-FR"/>
        </w:rPr>
        <w:t>pui et de protection nationale.</w:t>
      </w:r>
    </w:p>
    <w:p w:rsidR="00A5057A" w:rsidRDefault="00A5057A" w:rsidP="00114D73">
      <w:pPr>
        <w:rPr>
          <w:lang w:eastAsia="fr-FR"/>
        </w:rPr>
      </w:pPr>
      <w:r>
        <w:rPr>
          <w:lang w:eastAsia="fr-FR"/>
        </w:rPr>
        <w:t>Le Niger est un pays où la filière lait, le pastoralisme, la consommation de lait locale, sont très ancrés dans l’économie, dans la culture : cette spécificité nécessite des solutions propres au pays, à la situation de Niamey, des éleveurs transhumants et sédentarisés.</w:t>
      </w:r>
    </w:p>
    <w:p w:rsidR="00A5057A" w:rsidRDefault="00A5057A" w:rsidP="00A5057A">
      <w:pPr>
        <w:pStyle w:val="Titre3"/>
        <w:numPr>
          <w:ilvl w:val="0"/>
          <w:numId w:val="0"/>
        </w:numPr>
        <w:ind w:left="720" w:hanging="720"/>
      </w:pPr>
    </w:p>
    <w:p w:rsidR="009E2C49" w:rsidRPr="009E2C49" w:rsidRDefault="009E2C49" w:rsidP="009E2C49">
      <w:pPr>
        <w:rPr>
          <w:lang w:eastAsia="fr-FR"/>
        </w:rPr>
      </w:pPr>
    </w:p>
    <w:p w:rsidR="00A5057A" w:rsidRDefault="00A5057A" w:rsidP="00A5057A">
      <w:pPr>
        <w:pStyle w:val="Titre3"/>
        <w:numPr>
          <w:ilvl w:val="0"/>
          <w:numId w:val="0"/>
        </w:numPr>
        <w:ind w:left="720" w:hanging="720"/>
      </w:pPr>
      <w:r>
        <w:t>Des nombreux soutiens possibles par les autorités nigériennes</w:t>
      </w:r>
    </w:p>
    <w:p w:rsidR="00114D73" w:rsidRDefault="00114D73" w:rsidP="00114D73">
      <w:pPr>
        <w:rPr>
          <w:lang w:eastAsia="fr-FR"/>
        </w:rPr>
      </w:pPr>
      <w:r>
        <w:rPr>
          <w:lang w:eastAsia="fr-FR"/>
        </w:rPr>
        <w:t xml:space="preserve">Dans ce contexte, les partenaires du projet Nariindu </w:t>
      </w:r>
      <w:r w:rsidR="00AF6A91">
        <w:rPr>
          <w:lang w:eastAsia="fr-FR"/>
        </w:rPr>
        <w:t xml:space="preserve">invitent les autorités nigériennes  à soutenir </w:t>
      </w:r>
      <w:r>
        <w:rPr>
          <w:lang w:eastAsia="fr-FR"/>
        </w:rPr>
        <w:t>les demandes suivantes</w:t>
      </w:r>
      <w:r w:rsidR="00AF6A91">
        <w:rPr>
          <w:lang w:eastAsia="fr-FR"/>
        </w:rPr>
        <w:t xml:space="preserve"> </w:t>
      </w:r>
      <w:r>
        <w:rPr>
          <w:lang w:eastAsia="fr-FR"/>
        </w:rPr>
        <w:t>:</w:t>
      </w:r>
    </w:p>
    <w:p w:rsidR="00114D73" w:rsidRDefault="00114D73" w:rsidP="00114D73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Les centres de collecte de lait multi-service développés dans le cadre du projet </w:t>
      </w:r>
      <w:r w:rsidR="008E74F1">
        <w:rPr>
          <w:lang w:eastAsia="fr-FR"/>
        </w:rPr>
        <w:t>doivent être soutenus et promus comme un modèle prometteur pour l’avenir de la filière lait en périphérie de Niamey</w:t>
      </w:r>
      <w:r w:rsidR="00AF6A91">
        <w:rPr>
          <w:lang w:eastAsia="fr-FR"/>
        </w:rPr>
        <w:t>. En particulier, l’importance des Organisations de producteurs au sein de ces dispositifs doit être réaffirmée, comme facteur de pérennisation de la filière lait ;</w:t>
      </w:r>
    </w:p>
    <w:p w:rsidR="00AF6A91" w:rsidRDefault="00AF6A91" w:rsidP="00AF6A91">
      <w:pPr>
        <w:ind w:left="720"/>
        <w:rPr>
          <w:lang w:eastAsia="fr-FR"/>
        </w:rPr>
      </w:pPr>
      <w:r w:rsidRPr="00AF6A91">
        <w:rPr>
          <w:b/>
          <w:u w:val="single"/>
          <w:lang w:eastAsia="fr-FR"/>
        </w:rPr>
        <w:t>Proposition 1</w:t>
      </w:r>
      <w:r>
        <w:rPr>
          <w:lang w:eastAsia="fr-FR"/>
        </w:rPr>
        <w:t> : Faire mention des centres de collecte de lait multi-services comme solution possible en appui au développement de la filière lait nigérienne, dans les documents stratégiques du Ministère de l’Agriculture</w:t>
      </w:r>
    </w:p>
    <w:p w:rsidR="008E74F1" w:rsidRDefault="008E74F1" w:rsidP="00114D73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Les produits laitiers locaux, à base de lait local, doivent bénéficier d’un protection spéciale, en particulier par la mise en application d’une exemption de TVA pour les produits uniquement « 100% locaux »</w:t>
      </w:r>
      <w:r w:rsidR="00A5057A">
        <w:rPr>
          <w:lang w:eastAsia="fr-FR"/>
        </w:rPr>
        <w:t> ;</w:t>
      </w:r>
    </w:p>
    <w:p w:rsidR="00AF6A91" w:rsidRDefault="00AF6A91" w:rsidP="00AF6A91">
      <w:pPr>
        <w:ind w:left="720"/>
        <w:rPr>
          <w:lang w:eastAsia="fr-FR"/>
        </w:rPr>
      </w:pPr>
      <w:r w:rsidRPr="00AF6A91">
        <w:rPr>
          <w:b/>
          <w:lang w:eastAsia="fr-FR"/>
        </w:rPr>
        <w:lastRenderedPageBreak/>
        <w:t>Proposition 2</w:t>
      </w:r>
      <w:r>
        <w:rPr>
          <w:lang w:eastAsia="fr-FR"/>
        </w:rPr>
        <w:t> : Exemption de taxe pour les produits certifiés officiellement à base de lait exclusivement local (100% avec tolérance de poudre de lait pour stabiliser les produits)</w:t>
      </w:r>
      <w:r w:rsidR="009E2C49">
        <w:rPr>
          <w:lang w:eastAsia="fr-FR"/>
        </w:rPr>
        <w:t>.</w:t>
      </w:r>
    </w:p>
    <w:p w:rsidR="009E2C49" w:rsidRDefault="009E2C49" w:rsidP="00AF6A91">
      <w:pPr>
        <w:ind w:left="720"/>
        <w:rPr>
          <w:lang w:eastAsia="fr-FR"/>
        </w:rPr>
      </w:pPr>
    </w:p>
    <w:p w:rsidR="008E74F1" w:rsidRDefault="008E74F1" w:rsidP="00114D73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Les centres de collecte de lait multi-service doivent bénéficier d’un accès privilégié aux intrants, et en particulier aux aliments pour le bétail (stocks nationaux ou sous-régionaux, zones de fourrage non exploitées), ce à des conditions préférentielles ;</w:t>
      </w:r>
    </w:p>
    <w:p w:rsidR="00AF6A91" w:rsidRDefault="00AF6A91" w:rsidP="00AF6A91">
      <w:pPr>
        <w:ind w:left="720"/>
        <w:rPr>
          <w:lang w:eastAsia="fr-FR"/>
        </w:rPr>
      </w:pPr>
      <w:r w:rsidRPr="00AF6A91">
        <w:rPr>
          <w:b/>
          <w:lang w:eastAsia="fr-FR"/>
        </w:rPr>
        <w:t>Proposition 3</w:t>
      </w:r>
      <w:r>
        <w:rPr>
          <w:lang w:eastAsia="fr-FR"/>
        </w:rPr>
        <w:t> : désigner un point focal « Intrants » au sein des Services concernés pour faciliter l’accès aux intrants pour les centres</w:t>
      </w:r>
      <w:r w:rsidR="003D5D90">
        <w:rPr>
          <w:lang w:eastAsia="fr-FR"/>
        </w:rPr>
        <w:t>, faciliter la concertation avec les parties concernées.</w:t>
      </w:r>
    </w:p>
    <w:p w:rsidR="009E2C49" w:rsidRDefault="009E2C49" w:rsidP="00AF6A91">
      <w:pPr>
        <w:ind w:left="720"/>
        <w:rPr>
          <w:lang w:eastAsia="fr-FR"/>
        </w:rPr>
      </w:pPr>
    </w:p>
    <w:p w:rsidR="008E74F1" w:rsidRDefault="00A5057A" w:rsidP="008E74F1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Le </w:t>
      </w:r>
      <w:r w:rsidR="008E74F1">
        <w:rPr>
          <w:lang w:eastAsia="fr-FR"/>
        </w:rPr>
        <w:t xml:space="preserve">lien </w:t>
      </w:r>
      <w:r>
        <w:rPr>
          <w:lang w:eastAsia="fr-FR"/>
        </w:rPr>
        <w:t xml:space="preserve">entre </w:t>
      </w:r>
      <w:r w:rsidR="008E74F1">
        <w:rPr>
          <w:lang w:eastAsia="fr-FR"/>
        </w:rPr>
        <w:t>politique pastorale</w:t>
      </w:r>
      <w:r>
        <w:rPr>
          <w:lang w:eastAsia="fr-FR"/>
        </w:rPr>
        <w:t xml:space="preserve"> et</w:t>
      </w:r>
      <w:r w:rsidR="008E74F1">
        <w:rPr>
          <w:lang w:eastAsia="fr-FR"/>
        </w:rPr>
        <w:t xml:space="preserve"> politique laitière </w:t>
      </w:r>
      <w:r>
        <w:rPr>
          <w:lang w:eastAsia="fr-FR"/>
        </w:rPr>
        <w:t xml:space="preserve">doit être affirmé, et des </w:t>
      </w:r>
      <w:r w:rsidR="008E74F1">
        <w:rPr>
          <w:lang w:eastAsia="fr-FR"/>
        </w:rPr>
        <w:t xml:space="preserve">actions prioritaires </w:t>
      </w:r>
      <w:r>
        <w:rPr>
          <w:lang w:eastAsia="fr-FR"/>
        </w:rPr>
        <w:t>de soutien doivent être développées, en collaboration étroite entre les organisations représentatives des éleveurs et les autorités nigériennes ;</w:t>
      </w:r>
    </w:p>
    <w:p w:rsidR="003D5D90" w:rsidRDefault="003D5D90" w:rsidP="003D5D90">
      <w:pPr>
        <w:ind w:left="720"/>
        <w:rPr>
          <w:lang w:eastAsia="fr-FR"/>
        </w:rPr>
      </w:pPr>
      <w:r w:rsidRPr="003D5D90">
        <w:rPr>
          <w:b/>
          <w:lang w:eastAsia="fr-FR"/>
        </w:rPr>
        <w:t>Proposition 4</w:t>
      </w:r>
      <w:r>
        <w:rPr>
          <w:lang w:eastAsia="fr-FR"/>
        </w:rPr>
        <w:t xml:space="preserve"> : créer un groupe de travail entre la plateforme </w:t>
      </w:r>
      <w:r w:rsidR="009E2C49">
        <w:rPr>
          <w:lang w:eastAsia="fr-FR"/>
        </w:rPr>
        <w:t xml:space="preserve">innovation </w:t>
      </w:r>
      <w:r>
        <w:rPr>
          <w:lang w:eastAsia="fr-FR"/>
        </w:rPr>
        <w:t>laitière et le Ministère de l’Agriculture sur ce thème et formuler des propositions concrètes et un plan d’action</w:t>
      </w:r>
      <w:r w:rsidR="009E2C49">
        <w:rPr>
          <w:lang w:eastAsia="fr-FR"/>
        </w:rPr>
        <w:t>.</w:t>
      </w:r>
    </w:p>
    <w:p w:rsidR="003D5D90" w:rsidRDefault="003D5D90" w:rsidP="003D5D90">
      <w:pPr>
        <w:ind w:left="720"/>
        <w:rPr>
          <w:lang w:eastAsia="fr-FR"/>
        </w:rPr>
      </w:pPr>
    </w:p>
    <w:p w:rsidR="008E74F1" w:rsidRDefault="00A5057A" w:rsidP="008E74F1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La d</w:t>
      </w:r>
      <w:r w:rsidR="008E74F1">
        <w:rPr>
          <w:lang w:eastAsia="fr-FR"/>
        </w:rPr>
        <w:t xml:space="preserve">éfense du consommateur </w:t>
      </w:r>
      <w:r>
        <w:rPr>
          <w:lang w:eastAsia="fr-FR"/>
        </w:rPr>
        <w:t xml:space="preserve">va de pair avec celle des éleveurs : le lait local doit être protégé de la concurrence déloyale, par le respect en particulier de règles d’affichage </w:t>
      </w:r>
      <w:r w:rsidR="008E74F1">
        <w:rPr>
          <w:lang w:eastAsia="fr-FR"/>
        </w:rPr>
        <w:t>public</w:t>
      </w:r>
      <w:r>
        <w:rPr>
          <w:lang w:eastAsia="fr-FR"/>
        </w:rPr>
        <w:t xml:space="preserve"> et sur les produits</w:t>
      </w:r>
      <w:r w:rsidR="00AF6A91">
        <w:rPr>
          <w:lang w:eastAsia="fr-FR"/>
        </w:rPr>
        <w:t xml:space="preserve"> commercialisés, seuls les produits entièrement à base de lait local pouvant mentionner l’origine local du produit ;</w:t>
      </w:r>
    </w:p>
    <w:p w:rsidR="003D5D90" w:rsidRDefault="003D5D90" w:rsidP="003D5D90">
      <w:pPr>
        <w:ind w:left="720"/>
        <w:rPr>
          <w:lang w:eastAsia="fr-FR"/>
        </w:rPr>
      </w:pPr>
      <w:r w:rsidRPr="003D5D90">
        <w:rPr>
          <w:b/>
          <w:lang w:eastAsia="fr-FR"/>
        </w:rPr>
        <w:t>Proposition 5</w:t>
      </w:r>
      <w:r>
        <w:rPr>
          <w:lang w:eastAsia="fr-FR"/>
        </w:rPr>
        <w:t xml:space="preserve"> : créer un groupe de travail entre la plateforme </w:t>
      </w:r>
      <w:r w:rsidR="009E2C49">
        <w:rPr>
          <w:lang w:eastAsia="fr-FR"/>
        </w:rPr>
        <w:t xml:space="preserve">innovation </w:t>
      </w:r>
      <w:r>
        <w:rPr>
          <w:lang w:eastAsia="fr-FR"/>
        </w:rPr>
        <w:t>laitière et les Ministères de l’Agriculture,  de l’Industrie, du Commerce sur ce thème et formuler des propositions concrètes et un plan d’action</w:t>
      </w:r>
      <w:r w:rsidR="009E2C49">
        <w:rPr>
          <w:lang w:eastAsia="fr-FR"/>
        </w:rPr>
        <w:t>.</w:t>
      </w:r>
    </w:p>
    <w:p w:rsidR="009E2C49" w:rsidRDefault="009E2C49" w:rsidP="003D5D90">
      <w:pPr>
        <w:ind w:left="720"/>
        <w:rPr>
          <w:lang w:eastAsia="fr-FR"/>
        </w:rPr>
      </w:pPr>
    </w:p>
    <w:p w:rsidR="008E74F1" w:rsidRDefault="00AF6A91" w:rsidP="008E74F1">
      <w:pPr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 xml:space="preserve">Les autorités nigériennes </w:t>
      </w:r>
      <w:r w:rsidR="003D5D90">
        <w:rPr>
          <w:lang w:eastAsia="fr-FR"/>
        </w:rPr>
        <w:t xml:space="preserve">et partenaires du développement </w:t>
      </w:r>
      <w:r>
        <w:rPr>
          <w:lang w:eastAsia="fr-FR"/>
        </w:rPr>
        <w:t xml:space="preserve">doivent soutenir le développement </w:t>
      </w:r>
      <w:r w:rsidR="008E74F1">
        <w:rPr>
          <w:lang w:eastAsia="fr-FR"/>
        </w:rPr>
        <w:t xml:space="preserve">d’entreprises responsables et de partenariats et investissements de long terme </w:t>
      </w:r>
      <w:r>
        <w:rPr>
          <w:lang w:eastAsia="fr-FR"/>
        </w:rPr>
        <w:t xml:space="preserve">entre entreprises laitières et </w:t>
      </w:r>
      <w:r w:rsidR="008E74F1">
        <w:rPr>
          <w:lang w:eastAsia="fr-FR"/>
        </w:rPr>
        <w:t>producteurs</w:t>
      </w:r>
      <w:r>
        <w:rPr>
          <w:lang w:eastAsia="fr-FR"/>
        </w:rPr>
        <w:t>,</w:t>
      </w:r>
      <w:r w:rsidR="008E74F1">
        <w:rPr>
          <w:lang w:eastAsia="fr-FR"/>
        </w:rPr>
        <w:t xml:space="preserve"> pour soutenir la filière </w:t>
      </w:r>
      <w:r>
        <w:rPr>
          <w:lang w:eastAsia="fr-FR"/>
        </w:rPr>
        <w:t xml:space="preserve">lait </w:t>
      </w:r>
      <w:r w:rsidR="008E74F1">
        <w:rPr>
          <w:lang w:eastAsia="fr-FR"/>
        </w:rPr>
        <w:t>locale</w:t>
      </w:r>
      <w:r>
        <w:rPr>
          <w:lang w:eastAsia="fr-FR"/>
        </w:rPr>
        <w:t xml:space="preserve">. </w:t>
      </w:r>
      <w:r w:rsidR="008E74F1">
        <w:rPr>
          <w:lang w:eastAsia="fr-FR"/>
        </w:rPr>
        <w:t xml:space="preserve"> </w:t>
      </w:r>
    </w:p>
    <w:p w:rsidR="003D5D90" w:rsidRDefault="003D5D90" w:rsidP="003D5D90">
      <w:pPr>
        <w:ind w:left="720"/>
        <w:rPr>
          <w:lang w:eastAsia="fr-FR"/>
        </w:rPr>
      </w:pPr>
      <w:r w:rsidRPr="003D5D90">
        <w:rPr>
          <w:b/>
          <w:lang w:eastAsia="fr-FR"/>
        </w:rPr>
        <w:t>Proposition 6</w:t>
      </w:r>
      <w:r>
        <w:rPr>
          <w:lang w:eastAsia="fr-FR"/>
        </w:rPr>
        <w:t xml:space="preserve"> : </w:t>
      </w:r>
      <w:r w:rsidR="009E2C49">
        <w:rPr>
          <w:lang w:eastAsia="fr-FR"/>
        </w:rPr>
        <w:t>soutenir les initiatives de partenariat entre OP et entreprises privées tant au niveau local que national, en favorisant la mise en place d’un environnement favorable : accès aux financements, facilitation des démarches de tout ordre. La plateforme innovation laitière assure un suivi et un rapportage régulier de ces initiatives auprès des autorités concernées.</w:t>
      </w:r>
    </w:p>
    <w:p w:rsidR="008E74F1" w:rsidRDefault="008E74F1" w:rsidP="008E74F1">
      <w:pPr>
        <w:ind w:left="720"/>
        <w:rPr>
          <w:lang w:eastAsia="fr-FR"/>
        </w:rPr>
      </w:pPr>
    </w:p>
    <w:p w:rsidR="00114D73" w:rsidRPr="00114D73" w:rsidRDefault="00114D73" w:rsidP="00114D73">
      <w:pPr>
        <w:rPr>
          <w:lang w:eastAsia="fr-FR"/>
        </w:rPr>
      </w:pPr>
    </w:p>
    <w:p w:rsidR="00C86DE0" w:rsidRDefault="00C86DE0" w:rsidP="009E2C49">
      <w:pPr>
        <w:pStyle w:val="Titre1"/>
        <w:numPr>
          <w:ilvl w:val="0"/>
          <w:numId w:val="0"/>
        </w:numPr>
        <w:ind w:left="432" w:hanging="432"/>
      </w:pPr>
    </w:p>
    <w:sectPr w:rsidR="00C86DE0" w:rsidSect="008E74F1">
      <w:headerReference w:type="default" r:id="rId8"/>
      <w:footerReference w:type="even" r:id="rId9"/>
      <w:footerReference w:type="default" r:id="rId10"/>
      <w:pgSz w:w="11906" w:h="16838" w:code="9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4D" w:rsidRDefault="00FD294D">
      <w:pPr>
        <w:spacing w:after="0"/>
      </w:pPr>
      <w:r>
        <w:separator/>
      </w:r>
    </w:p>
  </w:endnote>
  <w:endnote w:type="continuationSeparator" w:id="0">
    <w:p w:rsidR="00FD294D" w:rsidRDefault="00FD29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E0" w:rsidRDefault="00C86DE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6DE0" w:rsidRDefault="00C86D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E0" w:rsidRDefault="00C86DE0">
    <w:pPr>
      <w:jc w:val="right"/>
      <w:rPr>
        <w:rFonts w:ascii="Lucida Sans" w:hAnsi="Lucida Sans"/>
        <w:color w:val="800000"/>
        <w:sz w:val="18"/>
      </w:rPr>
    </w:pPr>
    <w:r>
      <w:rPr>
        <w:rFonts w:ascii="Lucida Sans" w:hAnsi="Lucida Sans"/>
        <w:color w:val="800000"/>
        <w:sz w:val="18"/>
      </w:rPr>
      <w:t xml:space="preserve">Page </w:t>
    </w:r>
    <w:r>
      <w:rPr>
        <w:rFonts w:ascii="Lucida Sans" w:hAnsi="Lucida Sans"/>
        <w:color w:val="800000"/>
        <w:sz w:val="18"/>
      </w:rPr>
      <w:fldChar w:fldCharType="begin"/>
    </w:r>
    <w:r>
      <w:rPr>
        <w:rFonts w:ascii="Lucida Sans" w:hAnsi="Lucida Sans"/>
        <w:color w:val="800000"/>
        <w:sz w:val="18"/>
      </w:rPr>
      <w:instrText xml:space="preserve"> PAGE </w:instrText>
    </w:r>
    <w:r>
      <w:rPr>
        <w:rFonts w:ascii="Lucida Sans" w:hAnsi="Lucida Sans"/>
        <w:color w:val="800000"/>
        <w:sz w:val="18"/>
      </w:rPr>
      <w:fldChar w:fldCharType="separate"/>
    </w:r>
    <w:r w:rsidR="008848B6">
      <w:rPr>
        <w:rFonts w:ascii="Lucida Sans" w:hAnsi="Lucida Sans"/>
        <w:noProof/>
        <w:color w:val="800000"/>
        <w:sz w:val="18"/>
      </w:rPr>
      <w:t>3</w:t>
    </w:r>
    <w:r>
      <w:rPr>
        <w:rFonts w:ascii="Lucida Sans" w:hAnsi="Lucida Sans"/>
        <w:color w:val="800000"/>
        <w:sz w:val="18"/>
      </w:rPr>
      <w:fldChar w:fldCharType="end"/>
    </w:r>
    <w:r>
      <w:rPr>
        <w:rFonts w:ascii="Lucida Sans" w:hAnsi="Lucida Sans"/>
        <w:color w:val="800000"/>
        <w:sz w:val="18"/>
      </w:rPr>
      <w:t>/</w:t>
    </w:r>
    <w:r>
      <w:rPr>
        <w:rFonts w:ascii="Lucida Sans" w:hAnsi="Lucida Sans"/>
        <w:color w:val="800000"/>
        <w:sz w:val="18"/>
      </w:rPr>
      <w:fldChar w:fldCharType="begin"/>
    </w:r>
    <w:r>
      <w:rPr>
        <w:rFonts w:ascii="Lucida Sans" w:hAnsi="Lucida Sans"/>
        <w:color w:val="800000"/>
        <w:sz w:val="18"/>
      </w:rPr>
      <w:instrText xml:space="preserve"> NUMPAGES </w:instrText>
    </w:r>
    <w:r>
      <w:rPr>
        <w:rFonts w:ascii="Lucida Sans" w:hAnsi="Lucida Sans"/>
        <w:color w:val="800000"/>
        <w:sz w:val="18"/>
      </w:rPr>
      <w:fldChar w:fldCharType="separate"/>
    </w:r>
    <w:r w:rsidR="008848B6">
      <w:rPr>
        <w:rFonts w:ascii="Lucida Sans" w:hAnsi="Lucida Sans"/>
        <w:noProof/>
        <w:color w:val="800000"/>
        <w:sz w:val="18"/>
      </w:rPr>
      <w:t>3</w:t>
    </w:r>
    <w:r>
      <w:rPr>
        <w:rFonts w:ascii="Lucida Sans" w:hAnsi="Lucida Sans"/>
        <w:color w:val="8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4D" w:rsidRDefault="00FD294D">
      <w:pPr>
        <w:spacing w:after="0"/>
      </w:pPr>
      <w:r>
        <w:separator/>
      </w:r>
    </w:p>
  </w:footnote>
  <w:footnote w:type="continuationSeparator" w:id="0">
    <w:p w:rsidR="00FD294D" w:rsidRDefault="00FD29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49" w:rsidRDefault="009E2C49" w:rsidP="009E2C49">
    <w:pPr>
      <w:pStyle w:val="Titre1"/>
      <w:numPr>
        <w:ilvl w:val="0"/>
        <w:numId w:val="0"/>
      </w:numPr>
      <w:tabs>
        <w:tab w:val="left" w:pos="1980"/>
        <w:tab w:val="left" w:pos="3780"/>
        <w:tab w:val="left" w:pos="5760"/>
        <w:tab w:val="left" w:pos="7740"/>
      </w:tabs>
      <w:spacing w:before="720"/>
      <w:rPr>
        <w:b w:val="0"/>
        <w:sz w:val="18"/>
        <w:szCs w:val="18"/>
      </w:rPr>
    </w:pPr>
    <w:r>
      <w:rPr>
        <w:b w:val="0"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1189355</wp:posOffset>
          </wp:positionV>
          <wp:extent cx="851535" cy="344805"/>
          <wp:effectExtent l="0" t="0" r="5715" b="0"/>
          <wp:wrapTopAndBottom/>
          <wp:docPr id="10" name="Image 10" descr="logo_iram Ass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iram Ass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FF"/>
      </w:rPr>
      <w:tab/>
    </w:r>
    <w:r>
      <w:rPr>
        <w:noProof/>
        <w:lang w:eastAsia="fr-FR"/>
      </w:rPr>
      <w:drawing>
        <wp:inline distT="0" distB="0" distL="0" distR="0">
          <wp:extent cx="558800" cy="558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>
          <wp:extent cx="685800" cy="609600"/>
          <wp:effectExtent l="0" t="0" r="0" b="0"/>
          <wp:docPr id="2" name="Image 2" descr="LogoCAPEN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APEN -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>
          <wp:extent cx="685800" cy="6858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color w:val="0000FF"/>
        <w:lang w:eastAsia="fr-FR"/>
      </w:rPr>
      <w:drawing>
        <wp:inline distT="0" distB="0" distL="0" distR="0">
          <wp:extent cx="762000" cy="469900"/>
          <wp:effectExtent l="0" t="0" r="0" b="6350"/>
          <wp:docPr id="4" name="Image 4" descr="cid:image002.jpg@01CB9ECB.4CA8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jpg@01CB9ECB.4CA8781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6DE0" w:rsidRPr="009E2C49" w:rsidRDefault="00C86DE0" w:rsidP="009E2C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00A8"/>
    <w:multiLevelType w:val="hybridMultilevel"/>
    <w:tmpl w:val="97E6B6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3E2"/>
    <w:multiLevelType w:val="multilevel"/>
    <w:tmpl w:val="129429EA"/>
    <w:lvl w:ilvl="0">
      <w:start w:val="1"/>
      <w:numFmt w:val="decimal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0"/>
        </w:tabs>
        <w:ind w:left="44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2"/>
        </w:tabs>
        <w:ind w:left="46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6"/>
        </w:tabs>
        <w:ind w:left="47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10"/>
        </w:tabs>
        <w:ind w:left="4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54"/>
        </w:tabs>
        <w:ind w:left="5054" w:hanging="1584"/>
      </w:pPr>
      <w:rPr>
        <w:rFonts w:hint="default"/>
      </w:rPr>
    </w:lvl>
  </w:abstractNum>
  <w:abstractNum w:abstractNumId="2">
    <w:nsid w:val="4EA30068"/>
    <w:multiLevelType w:val="multilevel"/>
    <w:tmpl w:val="7CD8E7B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152009F"/>
    <w:multiLevelType w:val="hybridMultilevel"/>
    <w:tmpl w:val="EE3AEA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25BDD"/>
    <w:multiLevelType w:val="hybridMultilevel"/>
    <w:tmpl w:val="644AC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A0D57"/>
    <w:multiLevelType w:val="hybridMultilevel"/>
    <w:tmpl w:val="92321F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3"/>
    <w:rsid w:val="00114D73"/>
    <w:rsid w:val="00137ED9"/>
    <w:rsid w:val="003D5D90"/>
    <w:rsid w:val="008848B6"/>
    <w:rsid w:val="008E74F1"/>
    <w:rsid w:val="009E2C49"/>
    <w:rsid w:val="00A5057A"/>
    <w:rsid w:val="00AF6A91"/>
    <w:rsid w:val="00C86DE0"/>
    <w:rsid w:val="00E27ECD"/>
    <w:rsid w:val="00F26BA6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Garamond" w:hAnsi="Garamond"/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spacing w:before="240"/>
      <w:outlineLvl w:val="0"/>
    </w:pPr>
    <w:rPr>
      <w:rFonts w:ascii="Lucida Sans Unicode" w:hAnsi="Lucida Sans Unicode"/>
      <w:b/>
      <w:iCs/>
      <w:color w:val="800000"/>
      <w:spacing w:val="20"/>
      <w:sz w:val="26"/>
    </w:rPr>
  </w:style>
  <w:style w:type="paragraph" w:styleId="Titre2">
    <w:name w:val="heading 2"/>
    <w:basedOn w:val="Normal"/>
    <w:next w:val="Titre3"/>
    <w:qFormat/>
    <w:pPr>
      <w:keepNext/>
      <w:numPr>
        <w:ilvl w:val="1"/>
        <w:numId w:val="1"/>
      </w:numPr>
      <w:spacing w:before="240" w:line="320" w:lineRule="atLeast"/>
      <w:outlineLvl w:val="1"/>
    </w:pPr>
    <w:rPr>
      <w:rFonts w:ascii="Lucida Sans" w:eastAsia="Times New Roman" w:hAnsi="Lucida Sans"/>
      <w:b/>
      <w:bCs/>
      <w:color w:val="666633"/>
      <w:spacing w:val="20"/>
      <w:sz w:val="22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rFonts w:ascii="Lucida Sans" w:eastAsia="Times New Roman" w:hAnsi="Lucida Sans" w:cs="Tahoma"/>
      <w:bCs/>
      <w:spacing w:val="10"/>
      <w:sz w:val="20"/>
      <w:u w:val="single"/>
      <w:lang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left"/>
      <w:outlineLvl w:val="3"/>
    </w:pPr>
    <w:rPr>
      <w:rFonts w:ascii="Tahoma" w:eastAsia="Times New Roman" w:hAnsi="Tahoma" w:cs="Tahoma"/>
      <w:b/>
      <w:bCs/>
      <w:sz w:val="20"/>
      <w:lang w:eastAsia="fr-FR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ahoma" w:eastAsia="Times New Roman" w:hAnsi="Tahoma" w:cs="Tahoma"/>
      <w:b/>
      <w:bCs/>
      <w:sz w:val="20"/>
      <w:lang w:eastAsia="fr-FR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  <w:lang w:val="fr-CH"/>
    </w:rPr>
  </w:style>
  <w:style w:type="paragraph" w:styleId="Corpsdetexte2">
    <w:name w:val="Body Text 2"/>
    <w:basedOn w:val="Normal"/>
    <w:semiHidden/>
    <w:rPr>
      <w:lang w:val="fr-CH"/>
    </w:rPr>
  </w:style>
  <w:style w:type="paragraph" w:styleId="Corpsdetexte3">
    <w:name w:val="Body Text 3"/>
    <w:basedOn w:val="Normal"/>
    <w:semiHidden/>
    <w:rPr>
      <w:i/>
      <w:iCs/>
      <w:lang w:val="fr-CH"/>
    </w:rPr>
  </w:style>
  <w:style w:type="paragraph" w:styleId="Notedebasdepage">
    <w:name w:val="footnote text"/>
    <w:basedOn w:val="Normal"/>
    <w:semiHidden/>
    <w:rPr>
      <w:sz w:val="18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tabs>
        <w:tab w:val="num" w:pos="720"/>
      </w:tabs>
      <w:ind w:left="360"/>
      <w:jc w:val="right"/>
    </w:pPr>
    <w:rPr>
      <w:b/>
      <w:bCs/>
      <w:sz w:val="52"/>
    </w:rPr>
  </w:style>
  <w:style w:type="paragraph" w:styleId="TM1">
    <w:name w:val="toc 1"/>
    <w:basedOn w:val="Normal"/>
    <w:next w:val="Normal"/>
    <w:autoRedefine/>
    <w:semiHidden/>
    <w:pPr>
      <w:pBdr>
        <w:bottom w:val="single" w:sz="4" w:space="1" w:color="auto"/>
      </w:pBdr>
      <w:tabs>
        <w:tab w:val="right" w:pos="9072"/>
      </w:tabs>
      <w:spacing w:before="340" w:after="360" w:line="320" w:lineRule="atLeast"/>
      <w:jc w:val="left"/>
    </w:pPr>
    <w:rPr>
      <w:rFonts w:ascii="Lucida Sans" w:eastAsia="Times New Roman" w:hAnsi="Lucida Sans"/>
      <w:smallCaps/>
      <w:color w:val="800000"/>
      <w:spacing w:val="20"/>
      <w:sz w:val="28"/>
      <w:szCs w:val="28"/>
      <w:lang w:eastAsia="fr-FR"/>
    </w:rPr>
  </w:style>
  <w:style w:type="paragraph" w:styleId="TM8">
    <w:name w:val="toc 8"/>
    <w:basedOn w:val="Normal"/>
    <w:next w:val="Normal"/>
    <w:semiHidden/>
    <w:pPr>
      <w:spacing w:after="160" w:line="320" w:lineRule="atLeast"/>
      <w:ind w:left="1680"/>
      <w:jc w:val="left"/>
    </w:pPr>
    <w:rPr>
      <w:rFonts w:eastAsia="Times New Roman"/>
      <w:sz w:val="18"/>
      <w:szCs w:val="20"/>
      <w:lang w:eastAsia="fr-FR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Titre1"/>
    <w:qFormat/>
    <w:pPr>
      <w:spacing w:before="1140" w:after="60" w:line="480" w:lineRule="exact"/>
      <w:jc w:val="center"/>
    </w:pPr>
    <w:rPr>
      <w:rFonts w:eastAsia="Times New Roman"/>
      <w:iCs w:val="0"/>
      <w:sz w:val="32"/>
      <w:szCs w:val="20"/>
      <w:lang w:eastAsia="fr-FR"/>
    </w:rPr>
  </w:style>
  <w:style w:type="paragraph" w:styleId="TM2">
    <w:name w:val="toc 2"/>
    <w:basedOn w:val="Normal"/>
    <w:next w:val="Normal"/>
    <w:autoRedefine/>
    <w:semiHidden/>
    <w:pPr>
      <w:tabs>
        <w:tab w:val="left" w:pos="8789"/>
        <w:tab w:val="left" w:pos="9072"/>
      </w:tabs>
      <w:spacing w:before="120"/>
      <w:ind w:left="238"/>
    </w:pPr>
    <w:rPr>
      <w:rFonts w:ascii="Lucida Sans" w:hAnsi="Lucida Sans"/>
      <w:b/>
      <w:noProof/>
      <w:color w:val="666633"/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left" w:pos="8789"/>
      </w:tabs>
      <w:ind w:left="567"/>
    </w:pPr>
    <w:rPr>
      <w:rFonts w:ascii="Lucida Sans" w:hAnsi="Lucida Sans"/>
      <w:noProof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Garamond" w:hAnsi="Garamond"/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spacing w:before="240"/>
      <w:outlineLvl w:val="0"/>
    </w:pPr>
    <w:rPr>
      <w:rFonts w:ascii="Lucida Sans Unicode" w:hAnsi="Lucida Sans Unicode"/>
      <w:b/>
      <w:iCs/>
      <w:color w:val="800000"/>
      <w:spacing w:val="20"/>
      <w:sz w:val="26"/>
    </w:rPr>
  </w:style>
  <w:style w:type="paragraph" w:styleId="Titre2">
    <w:name w:val="heading 2"/>
    <w:basedOn w:val="Normal"/>
    <w:next w:val="Titre3"/>
    <w:qFormat/>
    <w:pPr>
      <w:keepNext/>
      <w:numPr>
        <w:ilvl w:val="1"/>
        <w:numId w:val="1"/>
      </w:numPr>
      <w:spacing w:before="240" w:line="320" w:lineRule="atLeast"/>
      <w:outlineLvl w:val="1"/>
    </w:pPr>
    <w:rPr>
      <w:rFonts w:ascii="Lucida Sans" w:eastAsia="Times New Roman" w:hAnsi="Lucida Sans"/>
      <w:b/>
      <w:bCs/>
      <w:color w:val="666633"/>
      <w:spacing w:val="20"/>
      <w:sz w:val="22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rFonts w:ascii="Lucida Sans" w:eastAsia="Times New Roman" w:hAnsi="Lucida Sans" w:cs="Tahoma"/>
      <w:bCs/>
      <w:spacing w:val="10"/>
      <w:sz w:val="20"/>
      <w:u w:val="single"/>
      <w:lang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left"/>
      <w:outlineLvl w:val="3"/>
    </w:pPr>
    <w:rPr>
      <w:rFonts w:ascii="Tahoma" w:eastAsia="Times New Roman" w:hAnsi="Tahoma" w:cs="Tahoma"/>
      <w:b/>
      <w:bCs/>
      <w:sz w:val="20"/>
      <w:lang w:eastAsia="fr-FR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ahoma" w:eastAsia="Times New Roman" w:hAnsi="Tahoma" w:cs="Tahoma"/>
      <w:b/>
      <w:bCs/>
      <w:sz w:val="20"/>
      <w:lang w:eastAsia="fr-FR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  <w:lang w:val="fr-CH"/>
    </w:rPr>
  </w:style>
  <w:style w:type="paragraph" w:styleId="Corpsdetexte2">
    <w:name w:val="Body Text 2"/>
    <w:basedOn w:val="Normal"/>
    <w:semiHidden/>
    <w:rPr>
      <w:lang w:val="fr-CH"/>
    </w:rPr>
  </w:style>
  <w:style w:type="paragraph" w:styleId="Corpsdetexte3">
    <w:name w:val="Body Text 3"/>
    <w:basedOn w:val="Normal"/>
    <w:semiHidden/>
    <w:rPr>
      <w:i/>
      <w:iCs/>
      <w:lang w:val="fr-CH"/>
    </w:rPr>
  </w:style>
  <w:style w:type="paragraph" w:styleId="Notedebasdepage">
    <w:name w:val="footnote text"/>
    <w:basedOn w:val="Normal"/>
    <w:semiHidden/>
    <w:rPr>
      <w:sz w:val="18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tabs>
        <w:tab w:val="num" w:pos="720"/>
      </w:tabs>
      <w:ind w:left="360"/>
      <w:jc w:val="right"/>
    </w:pPr>
    <w:rPr>
      <w:b/>
      <w:bCs/>
      <w:sz w:val="52"/>
    </w:rPr>
  </w:style>
  <w:style w:type="paragraph" w:styleId="TM1">
    <w:name w:val="toc 1"/>
    <w:basedOn w:val="Normal"/>
    <w:next w:val="Normal"/>
    <w:autoRedefine/>
    <w:semiHidden/>
    <w:pPr>
      <w:pBdr>
        <w:bottom w:val="single" w:sz="4" w:space="1" w:color="auto"/>
      </w:pBdr>
      <w:tabs>
        <w:tab w:val="right" w:pos="9072"/>
      </w:tabs>
      <w:spacing w:before="340" w:after="360" w:line="320" w:lineRule="atLeast"/>
      <w:jc w:val="left"/>
    </w:pPr>
    <w:rPr>
      <w:rFonts w:ascii="Lucida Sans" w:eastAsia="Times New Roman" w:hAnsi="Lucida Sans"/>
      <w:smallCaps/>
      <w:color w:val="800000"/>
      <w:spacing w:val="20"/>
      <w:sz w:val="28"/>
      <w:szCs w:val="28"/>
      <w:lang w:eastAsia="fr-FR"/>
    </w:rPr>
  </w:style>
  <w:style w:type="paragraph" w:styleId="TM8">
    <w:name w:val="toc 8"/>
    <w:basedOn w:val="Normal"/>
    <w:next w:val="Normal"/>
    <w:semiHidden/>
    <w:pPr>
      <w:spacing w:after="160" w:line="320" w:lineRule="atLeast"/>
      <w:ind w:left="1680"/>
      <w:jc w:val="left"/>
    </w:pPr>
    <w:rPr>
      <w:rFonts w:eastAsia="Times New Roman"/>
      <w:sz w:val="18"/>
      <w:szCs w:val="20"/>
      <w:lang w:eastAsia="fr-FR"/>
    </w:rPr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Titre1"/>
    <w:qFormat/>
    <w:pPr>
      <w:spacing w:before="1140" w:after="60" w:line="480" w:lineRule="exact"/>
      <w:jc w:val="center"/>
    </w:pPr>
    <w:rPr>
      <w:rFonts w:eastAsia="Times New Roman"/>
      <w:iCs w:val="0"/>
      <w:sz w:val="32"/>
      <w:szCs w:val="20"/>
      <w:lang w:eastAsia="fr-FR"/>
    </w:rPr>
  </w:style>
  <w:style w:type="paragraph" w:styleId="TM2">
    <w:name w:val="toc 2"/>
    <w:basedOn w:val="Normal"/>
    <w:next w:val="Normal"/>
    <w:autoRedefine/>
    <w:semiHidden/>
    <w:pPr>
      <w:tabs>
        <w:tab w:val="left" w:pos="8789"/>
        <w:tab w:val="left" w:pos="9072"/>
      </w:tabs>
      <w:spacing w:before="120"/>
      <w:ind w:left="238"/>
    </w:pPr>
    <w:rPr>
      <w:rFonts w:ascii="Lucida Sans" w:hAnsi="Lucida Sans"/>
      <w:b/>
      <w:noProof/>
      <w:color w:val="666633"/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left" w:pos="8789"/>
      </w:tabs>
      <w:ind w:left="567"/>
    </w:pPr>
    <w:rPr>
      <w:rFonts w:ascii="Lucida Sans" w:hAnsi="Lucida Sans"/>
      <w:noProof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1.jpg@01CBE543.B53351C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nard\AppData\Roaming\Microsoft\Templates\Iram\offre_methodologiq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offre_methodologique</Template>
  <TotalTime>0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IRAM</Company>
  <LinksUpToDate>false</LinksUpToDate>
  <CharactersWithSpaces>5845</CharactersWithSpaces>
  <SharedDoc>false</SharedDoc>
  <HLinks>
    <vt:vector size="30" baseType="variant"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_Toc255465170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_Toc255465169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_Toc255465168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_Toc255465167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_Toc255465166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Offre méthodologique</dc:subject>
  <dc:creator>Renard Olivier</dc:creator>
  <dc:description>version 2.0</dc:description>
  <cp:lastModifiedBy>Renard Olivier</cp:lastModifiedBy>
  <cp:revision>2</cp:revision>
  <cp:lastPrinted>2005-12-16T13:17:00Z</cp:lastPrinted>
  <dcterms:created xsi:type="dcterms:W3CDTF">2015-05-29T09:19:00Z</dcterms:created>
  <dcterms:modified xsi:type="dcterms:W3CDTF">2015-05-29T09:19:00Z</dcterms:modified>
</cp:coreProperties>
</file>